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100</w:t>
      </w:r>
      <w:r>
        <w:rPr>
          <w:rFonts w:ascii="Arial" w:hAnsi="Arial" w:eastAsia="宋体" w:cs="Arial"/>
          <w:b/>
          <w:color w:val="auto"/>
          <w:sz w:val="24"/>
          <w:lang w:eastAsia="zh-CN"/>
        </w:rPr>
        <w:t>-e</w:t>
      </w:r>
      <w:r>
        <w:rPr>
          <w:rFonts w:ascii="Arial" w:hAnsi="Arial" w:eastAsia="MS Mincho"/>
          <w:b/>
          <w:color w:val="auto"/>
          <w:sz w:val="24"/>
        </w:rPr>
        <w:tab/>
      </w:r>
      <w:r>
        <w:rPr>
          <w:rFonts w:hint="eastAsia" w:ascii="Arial" w:hAnsi="Arial"/>
          <w:b/>
          <w:color w:val="auto"/>
          <w:sz w:val="24"/>
          <w:lang w:eastAsia="zh-CN"/>
        </w:rPr>
        <w:t>R4-2113214</w:t>
      </w:r>
      <w:bookmarkStart w:id="9" w:name="_GoBack"/>
      <w:bookmarkEnd w:id="9"/>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27</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Aug</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RX beam number for HST FR2</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9.9.4.2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the last meeting, a way forward on RRM NR FR2 HST was approved in [1]:</w:t>
      </w:r>
      <w:r>
        <w:rPr>
          <w:rFonts w:hint="default" w:eastAsia="宋体"/>
          <w:color w:val="auto"/>
          <w:sz w:val="20"/>
          <w:szCs w:val="20"/>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Maximum supported speed</w:t>
            </w:r>
          </w:p>
          <w:p>
            <w:pPr>
              <w:pStyle w:val="15"/>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color w:val="auto"/>
                <w:sz w:val="20"/>
                <w:szCs w:val="20"/>
                <w:lang w:val="en-US" w:eastAsia="zh-CN"/>
              </w:rPr>
              <w:t>Use 350kmph as a reference maximum train speed and define RRM requirements to guarantee that.</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HST FR2 network deployment flag</w:t>
            </w:r>
          </w:p>
          <w:p>
            <w:pPr>
              <w:pStyle w:val="15"/>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Add a flag to enable the UE to identify different/enhanced RRM requirements in HST FR2 deployment.</w:t>
            </w:r>
          </w:p>
          <w:p>
            <w:pPr>
              <w:pStyle w:val="15"/>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Add HST FR2 network deployment flag to the combined LS to RAN2 on all HST FR2 signalling flags.</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Decreasing RX beam number</w:t>
            </w:r>
          </w:p>
          <w:p>
            <w:pPr>
              <w:pStyle w:val="15"/>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FFS the feasible number of RX beams from RRM perspective</w:t>
            </w:r>
          </w:p>
          <w:p>
            <w:pPr>
              <w:pStyle w:val="15"/>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0" w:leftChars="0" w:firstLine="737"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deployment scenario study is used as reference</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Network assistance for reducing RX  beam number</w:t>
            </w:r>
          </w:p>
          <w:p>
            <w:pPr>
              <w:pStyle w:val="15"/>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default" w:eastAsia="宋体"/>
                <w:color w:val="auto"/>
                <w:sz w:val="21"/>
                <w:szCs w:val="21"/>
                <w:lang w:val="en-US" w:eastAsia="zh-CN"/>
              </w:rPr>
            </w:pPr>
            <w:r>
              <w:rPr>
                <w:rFonts w:hint="default" w:ascii="Times New Roman" w:hAnsi="Times New Roman" w:cs="Times New Roman"/>
                <w:color w:val="auto"/>
                <w:sz w:val="20"/>
                <w:szCs w:val="20"/>
                <w:lang w:val="en-US" w:eastAsia="zh-CN"/>
              </w:rPr>
              <w:t>FFS: to be discussed depending on the outcomes of the deployment scenarios</w:t>
            </w:r>
          </w:p>
        </w:tc>
      </w:tr>
    </w:tbl>
    <w:p>
      <w:pPr>
        <w:pStyle w:val="3"/>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provide some analysis focus on the RX sweep beam number.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Based on the conclusion approved during 98bis meeting in Scenario session[2], it has been agreed that for the Scenario A uni-directional, 1 beam per UE panel, for Scenario A bi-directional, also 1 beam per UE panel. So for Scenario A, the RX beam number are determined always 1 for both uni- and bi- directional deployments. But for Scenario B, according to the discussion during 99 meeting[3], for both uni- and bi-directional deployments, the number of CPE RX beam sweep still remains open. </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For the RX beam sweep number, two factors are involved in and should be considered. On one hand, the impact on link quality should be considered. If the number of beams is too small, only wide beam can be used to cover high-speed moving CPE, which may deteriorate the receiving signal quality. On the other hand, the impact of RX beam number on multiple RRM processing delays should be considered. For multiple RRM processing, the more the number of RX beam, the longer the processing delay. In the scenario of high-speed movement, CPE is sensitive to RRM processing delays, so multiple RRM requirements should be enhanced. One of the effective methods is to limit the number of RX beam number.</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In this document, firstly, we will refer to the link budget analysis for Scenario B to determine the impact of smaller number of RX beam on the receiving signal quality. The link budget comparisons between cases of 1, 2 and 8 RX beams per CPE panel are provided.</w:t>
      </w:r>
    </w:p>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Secondly, we will analysis the impact of RX beam number on some RRM processing, such as L1 measurement, TCI state switching and cell identification.</w:t>
      </w:r>
    </w:p>
    <w:p>
      <w:pPr>
        <w:pStyle w:val="4"/>
        <w:bidi w:val="0"/>
        <w:rPr>
          <w:rFonts w:hint="eastAsia"/>
          <w:color w:val="auto"/>
          <w:sz w:val="28"/>
          <w:szCs w:val="28"/>
          <w:lang w:val="en-US" w:eastAsia="zh-CN"/>
        </w:rPr>
      </w:pPr>
      <w:r>
        <w:rPr>
          <w:rFonts w:hint="eastAsia"/>
          <w:color w:val="auto"/>
          <w:sz w:val="28"/>
          <w:szCs w:val="28"/>
          <w:lang w:val="en-US" w:eastAsia="zh-CN"/>
        </w:rPr>
        <w:t>2.1 Link-budget analysis for different RX beam number cases</w:t>
      </w:r>
    </w:p>
    <w:p>
      <w:pPr>
        <w:pStyle w:val="3"/>
        <w:jc w:val="center"/>
      </w:pPr>
      <w:r>
        <w:drawing>
          <wp:inline distT="0" distB="0" distL="0" distR="0">
            <wp:extent cx="5274310" cy="27362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srcRect/>
                    <a:stretch>
                      <a:fillRect/>
                    </a:stretch>
                  </pic:blipFill>
                  <pic:spPr>
                    <a:xfrm>
                      <a:off x="0" y="0"/>
                      <a:ext cx="5274310" cy="2736834"/>
                    </a:xfrm>
                    <a:prstGeom prst="rect">
                      <a:avLst/>
                    </a:prstGeom>
                    <a:noFill/>
                    <a:ln w="9525">
                      <a:noFill/>
                      <a:miter lim="800000"/>
                      <a:headEnd/>
                      <a:tailEnd/>
                    </a:ln>
                  </pic:spPr>
                </pic:pic>
              </a:graphicData>
            </a:graphic>
          </wp:inline>
        </w:drawing>
      </w:r>
    </w:p>
    <w:p>
      <w:pPr>
        <w:pStyle w:val="3"/>
        <w:jc w:val="center"/>
        <w:rPr>
          <w:rFonts w:hint="default" w:eastAsia="宋体"/>
          <w:lang w:val="en-US" w:eastAsia="zh-CN"/>
        </w:rPr>
      </w:pPr>
      <w:r>
        <w:rPr>
          <w:rFonts w:hint="eastAsia" w:eastAsia="宋体"/>
          <w:lang w:val="en-US" w:eastAsia="zh-CN"/>
        </w:rPr>
        <w:t>Figure 1 DL Rx Power for 1/2/8 RX beam cases in Scenario B uni-directional deployment</w:t>
      </w:r>
    </w:p>
    <w:p>
      <w:pPr>
        <w:pStyle w:val="3"/>
        <w:keepNext w:val="0"/>
        <w:keepLines w:val="0"/>
        <w:pageBreakBefore w:val="0"/>
        <w:widowControl/>
        <w:kinsoku/>
        <w:wordWrap/>
        <w:overflowPunct/>
        <w:topLinePunct w:val="0"/>
        <w:autoSpaceDE/>
        <w:autoSpaceDN/>
        <w:bidi w:val="0"/>
        <w:adjustRightInd/>
        <w:snapToGrid/>
        <w:jc w:val="both"/>
        <w:textAlignment w:val="auto"/>
        <w:rPr>
          <w:rFonts w:hint="default" w:eastAsia="宋体"/>
          <w:color w:val="auto"/>
          <w:sz w:val="20"/>
          <w:szCs w:val="20"/>
          <w:lang w:val="en-US" w:eastAsia="zh-CN"/>
        </w:rPr>
      </w:pPr>
      <w:r>
        <w:rPr>
          <w:rFonts w:hint="eastAsia" w:eastAsia="宋体"/>
          <w:color w:val="auto"/>
          <w:sz w:val="20"/>
          <w:szCs w:val="20"/>
          <w:lang w:val="en-US" w:eastAsia="zh-CN"/>
        </w:rPr>
        <w:t>In Figure 1, the DL Rx Power for different number of CPE RX beam cases are given. As we can see, the benefit of increasing the number of CPE RX beam is very limited, basically the three cases show the similar Rx Power performance. Only at the area where the CPE pass by the RRH, very slim gain of 8 RX beam case to 1RX beam case can be shown. There is almost no difference between 2 RX beam case and 8 RX beam case since the two curves are almost coincide. For all the three cases, the assumption of RRH is 2 TX beam per panel.</w:t>
      </w:r>
    </w:p>
    <w:p>
      <w:pPr>
        <w:pStyle w:val="3"/>
        <w:keepNext w:val="0"/>
        <w:keepLines w:val="0"/>
        <w:pageBreakBefore w:val="0"/>
        <w:widowControl/>
        <w:kinsoku/>
        <w:wordWrap/>
        <w:overflowPunct/>
        <w:topLinePunct w:val="0"/>
        <w:autoSpaceDE/>
        <w:autoSpaceDN/>
        <w:bidi w:val="0"/>
        <w:adjustRightInd/>
        <w:snapToGrid/>
        <w:jc w:val="both"/>
        <w:textAlignment w:val="auto"/>
        <w:rPr>
          <w:rFonts w:hint="eastAsia" w:eastAsia="宋体"/>
          <w:color w:val="auto"/>
          <w:sz w:val="20"/>
          <w:szCs w:val="20"/>
          <w:lang w:val="en-US" w:eastAsia="zh-CN"/>
        </w:rPr>
      </w:pPr>
      <w:r>
        <w:rPr>
          <w:rFonts w:hint="eastAsia" w:eastAsia="宋体"/>
          <w:color w:val="auto"/>
          <w:sz w:val="20"/>
          <w:szCs w:val="20"/>
          <w:lang w:val="en-US" w:eastAsia="zh-CN"/>
        </w:rPr>
        <w:t>According to the link budget analysis, so we suggest that only 1 RX beam per CPE panel is used for Scenario B uni-directional deployment.</w:t>
      </w:r>
    </w:p>
    <w:p>
      <w:pPr>
        <w:pStyle w:val="3"/>
        <w:jc w:val="both"/>
        <w:rPr>
          <w:rFonts w:hint="default" w:eastAsia="宋体"/>
          <w:color w:val="auto"/>
          <w:sz w:val="20"/>
          <w:szCs w:val="20"/>
          <w:lang w:val="en-US" w:eastAsia="zh-CN"/>
        </w:rPr>
      </w:pPr>
      <w:r>
        <w:rPr>
          <w:rFonts w:hint="eastAsia" w:eastAsia="宋体" w:cs="Times New Roman"/>
          <w:b/>
          <w:bCs/>
          <w:color w:val="auto"/>
          <w:sz w:val="20"/>
          <w:szCs w:val="20"/>
          <w:lang w:val="en-US" w:eastAsia="zh-CN" w:bidi="ar-SA"/>
        </w:rPr>
        <w:t>Proposal</w:t>
      </w:r>
      <w:r>
        <w:rPr>
          <w:rFonts w:hint="eastAsia" w:ascii="Times New Roman" w:hAnsi="Times New Roman" w:eastAsia="宋体" w:cs="Times New Roman"/>
          <w:b/>
          <w:bCs/>
          <w:color w:val="auto"/>
          <w:sz w:val="20"/>
          <w:szCs w:val="20"/>
          <w:lang w:val="en-US" w:eastAsia="zh-CN" w:bidi="ar-SA"/>
        </w:rPr>
        <w:t xml:space="preserve"> </w:t>
      </w:r>
      <w:r>
        <w:rPr>
          <w:rFonts w:hint="eastAsia" w:eastAsia="宋体" w:cs="Times New Roman"/>
          <w:b/>
          <w:bCs/>
          <w:color w:val="auto"/>
          <w:sz w:val="20"/>
          <w:szCs w:val="20"/>
          <w:lang w:val="en-US" w:eastAsia="zh-CN" w:bidi="ar-SA"/>
        </w:rPr>
        <w:t>1</w:t>
      </w:r>
      <w:r>
        <w:rPr>
          <w:rFonts w:hint="eastAsia" w:ascii="Times New Roman" w:hAnsi="Times New Roman" w:eastAsia="宋体" w:cs="Times New Roman"/>
          <w:b/>
          <w:bCs/>
          <w:color w:val="auto"/>
          <w:sz w:val="20"/>
          <w:szCs w:val="20"/>
          <w:lang w:val="en-US" w:eastAsia="zh-CN" w:bidi="ar-SA"/>
        </w:rPr>
        <w:t xml:space="preserve">: </w:t>
      </w:r>
      <w:r>
        <w:rPr>
          <w:rFonts w:hint="eastAsia" w:eastAsia="宋体" w:cs="Times New Roman"/>
          <w:b/>
          <w:bCs/>
          <w:color w:val="auto"/>
          <w:sz w:val="20"/>
          <w:szCs w:val="20"/>
          <w:lang w:val="en-US" w:eastAsia="zh-CN" w:bidi="ar-SA"/>
        </w:rPr>
        <w:t>Only 1 RX beam per CPE panel is enough for Scenario B uni-directional deployment.</w:t>
      </w:r>
    </w:p>
    <w:p>
      <w:pPr>
        <w:pStyle w:val="3"/>
        <w:jc w:val="both"/>
        <w:rPr>
          <w:rFonts w:hint="eastAsia" w:eastAsia="宋体"/>
          <w:color w:val="auto"/>
          <w:sz w:val="20"/>
          <w:szCs w:val="20"/>
          <w:lang w:val="en-US" w:eastAsia="zh-CN"/>
        </w:rPr>
      </w:pPr>
      <w:r>
        <w:rPr>
          <w:rFonts w:hint="eastAsia" w:eastAsia="宋体"/>
          <w:color w:val="auto"/>
          <w:sz w:val="20"/>
          <w:szCs w:val="20"/>
          <w:lang w:val="en-US" w:eastAsia="zh-CN"/>
        </w:rPr>
        <w:t>For Scenario B bi-directional deployment, the detailed schemes still need further discussion, so we can wait for the Channel and Scenario sessions</w:t>
      </w:r>
      <w:r>
        <w:rPr>
          <w:rFonts w:hint="default" w:eastAsia="宋体"/>
          <w:color w:val="auto"/>
          <w:sz w:val="20"/>
          <w:szCs w:val="20"/>
          <w:lang w:val="en-US" w:eastAsia="zh-CN"/>
        </w:rPr>
        <w:t>’</w:t>
      </w:r>
      <w:r>
        <w:rPr>
          <w:rFonts w:hint="eastAsia" w:eastAsia="宋体"/>
          <w:color w:val="auto"/>
          <w:sz w:val="20"/>
          <w:szCs w:val="20"/>
          <w:lang w:val="en-US" w:eastAsia="zh-CN"/>
        </w:rPr>
        <w:t xml:space="preserve"> conclusion for the final supporting scheme(s), then we can decide the number of RX beam from RRM perspective.</w:t>
      </w:r>
    </w:p>
    <w:p>
      <w:pPr>
        <w:pStyle w:val="3"/>
        <w:jc w:val="both"/>
        <w:rPr>
          <w:rFonts w:hint="default" w:eastAsia="宋体"/>
          <w:color w:val="auto"/>
          <w:sz w:val="20"/>
          <w:szCs w:val="20"/>
          <w:lang w:val="en-US" w:eastAsia="zh-CN"/>
        </w:rPr>
      </w:pPr>
      <w:r>
        <w:rPr>
          <w:rFonts w:hint="eastAsia" w:eastAsia="宋体" w:cs="Times New Roman"/>
          <w:b/>
          <w:bCs/>
          <w:color w:val="auto"/>
          <w:sz w:val="20"/>
          <w:szCs w:val="20"/>
          <w:lang w:val="en-US" w:eastAsia="zh-CN" w:bidi="ar-SA"/>
        </w:rPr>
        <w:t>Proposal</w:t>
      </w:r>
      <w:r>
        <w:rPr>
          <w:rFonts w:hint="eastAsia" w:ascii="Times New Roman" w:hAnsi="Times New Roman" w:eastAsia="宋体" w:cs="Times New Roman"/>
          <w:b/>
          <w:bCs/>
          <w:color w:val="auto"/>
          <w:sz w:val="20"/>
          <w:szCs w:val="20"/>
          <w:lang w:val="en-US" w:eastAsia="zh-CN" w:bidi="ar-SA"/>
        </w:rPr>
        <w:t xml:space="preserve"> </w:t>
      </w:r>
      <w:r>
        <w:rPr>
          <w:rFonts w:hint="eastAsia" w:eastAsia="宋体" w:cs="Times New Roman"/>
          <w:b/>
          <w:bCs/>
          <w:color w:val="auto"/>
          <w:sz w:val="20"/>
          <w:szCs w:val="20"/>
          <w:lang w:val="en-US" w:eastAsia="zh-CN" w:bidi="ar-SA"/>
        </w:rPr>
        <w:t>2</w:t>
      </w:r>
      <w:r>
        <w:rPr>
          <w:rFonts w:hint="eastAsia" w:ascii="Times New Roman" w:hAnsi="Times New Roman" w:eastAsia="宋体" w:cs="Times New Roman"/>
          <w:b/>
          <w:bCs/>
          <w:color w:val="auto"/>
          <w:sz w:val="20"/>
          <w:szCs w:val="20"/>
          <w:lang w:val="en-US" w:eastAsia="zh-CN" w:bidi="ar-SA"/>
        </w:rPr>
        <w:t xml:space="preserve">: </w:t>
      </w:r>
      <w:r>
        <w:rPr>
          <w:rFonts w:hint="eastAsia" w:eastAsia="宋体" w:cs="Times New Roman"/>
          <w:b/>
          <w:bCs/>
          <w:color w:val="auto"/>
          <w:sz w:val="20"/>
          <w:szCs w:val="20"/>
          <w:lang w:val="en-US" w:eastAsia="zh-CN" w:bidi="ar-SA"/>
        </w:rPr>
        <w:t xml:space="preserve">For Scenario B bi-directional deployment, wait for the detailed schemes determined in Channel and Scenario sessions. Once the detailed schemes decided, we can determine RX beam number. </w:t>
      </w:r>
    </w:p>
    <w:p>
      <w:pPr>
        <w:pStyle w:val="4"/>
        <w:bidi w:val="0"/>
        <w:rPr>
          <w:rFonts w:hint="default"/>
          <w:color w:val="auto"/>
          <w:sz w:val="28"/>
          <w:szCs w:val="28"/>
          <w:lang w:val="en-US" w:eastAsia="zh-CN"/>
        </w:rPr>
      </w:pPr>
      <w:r>
        <w:rPr>
          <w:rFonts w:hint="eastAsia"/>
          <w:color w:val="auto"/>
          <w:sz w:val="28"/>
          <w:szCs w:val="28"/>
          <w:lang w:val="en-US" w:eastAsia="zh-CN"/>
        </w:rPr>
        <w:t>2.2 Impact on L1 measurement</w:t>
      </w:r>
    </w:p>
    <w:p>
      <w:pPr>
        <w:widowControl w:val="0"/>
        <w:numPr>
          <w:ilvl w:val="0"/>
          <w:numId w:val="0"/>
        </w:numPr>
        <w:jc w:val="both"/>
        <w:rPr>
          <w:rFonts w:hint="default"/>
          <w:lang w:val="en-US" w:eastAsia="zh-CN"/>
        </w:rPr>
      </w:pPr>
      <w:r>
        <w:rPr>
          <w:rFonts w:hint="eastAsia"/>
          <w:lang w:val="en-US" w:eastAsia="zh-CN"/>
        </w:rPr>
        <w:t>As specified in Rel-16 TS 38.133[4], Table 9.5.4.1-2 gives the L1-RSRP measurement requirements.</w:t>
      </w:r>
    </w:p>
    <w:p>
      <w:pPr>
        <w:pStyle w:val="35"/>
      </w:pPr>
      <w:r>
        <w:t xml:space="preserve">Table 9.5.4.1-2: Measurement period </w:t>
      </w:r>
      <w:bookmarkStart w:id="0" w:name="OLE_LINK1"/>
      <w:r>
        <w:t>T</w:t>
      </w:r>
      <w:r>
        <w:rPr>
          <w:vertAlign w:val="subscript"/>
        </w:rPr>
        <w:t>L1-RSRP_Measurement_Period_SSB</w:t>
      </w:r>
      <w:r>
        <w:t xml:space="preserve"> </w:t>
      </w:r>
      <w:bookmarkEnd w:id="0"/>
      <w:r>
        <w:t>for FR2</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32"/>
            </w:pPr>
            <w:r>
              <w:t>T</w:t>
            </w:r>
            <w:r>
              <w:rPr>
                <w:vertAlign w:val="subscript"/>
              </w:rPr>
              <w:t>L1-RSRP_Measurement_Period_SSB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non-DRX</w:t>
            </w:r>
          </w:p>
        </w:tc>
        <w:tc>
          <w:tcPr>
            <w:tcW w:w="4582" w:type="dxa"/>
            <w:tcBorders>
              <w:top w:val="single" w:color="auto" w:sz="4" w:space="0"/>
              <w:left w:val="single" w:color="auto" w:sz="4" w:space="0"/>
              <w:bottom w:val="single" w:color="auto" w:sz="4" w:space="0"/>
              <w:right w:val="single" w:color="auto" w:sz="4" w:space="0"/>
            </w:tcBorders>
          </w:tcPr>
          <w:p>
            <w:pPr>
              <w:pStyle w:val="33"/>
            </w:pPr>
            <w:r>
              <w:rPr>
                <w:rFonts w:cs="v4.2.0"/>
              </w:rPr>
              <w:t>max(T</w:t>
            </w:r>
            <w:r>
              <w:rPr>
                <w:rFonts w:cs="v4.2.0"/>
                <w:vertAlign w:val="subscript"/>
              </w:rPr>
              <w:t>Report</w:t>
            </w:r>
            <w:r>
              <w:rPr>
                <w:rFonts w:cs="v4.2.0"/>
              </w:rPr>
              <w:t>, ceil(M*P*N)*T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33"/>
            </w:pPr>
            <w:r>
              <w:rPr>
                <w:rFonts w:cs="v4.2.0"/>
              </w:rPr>
              <w:t>max(T</w:t>
            </w:r>
            <w:r>
              <w:rPr>
                <w:rFonts w:cs="v4.2.0"/>
                <w:vertAlign w:val="subscript"/>
              </w:rPr>
              <w:t>Report</w:t>
            </w:r>
            <w:r>
              <w:rPr>
                <w:rFonts w:cs="v4.2.0"/>
              </w:rPr>
              <w:t>, ceil(1.5*M*P*N)*max(T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3"/>
            </w:pPr>
            <w:r>
              <w:rPr>
                <w:rFonts w:cs="v4.2.0"/>
              </w:rPr>
              <w:t>ceil(1.5*M*P*N)*T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51"/>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pPr>
        <w:widowControl w:val="0"/>
        <w:numPr>
          <w:ilvl w:val="0"/>
          <w:numId w:val="0"/>
        </w:numPr>
        <w:jc w:val="both"/>
        <w:rPr>
          <w:rFonts w:hint="eastAsia" w:ascii="Times New Roman" w:hAnsi="Times New Roman" w:eastAsia="宋体" w:cs="Times New Roman"/>
          <w:color w:val="auto"/>
          <w:sz w:val="20"/>
          <w:szCs w:val="20"/>
          <w:lang w:val="en-US" w:eastAsia="zh-CN" w:bidi="ar-SA"/>
        </w:rPr>
      </w:pPr>
      <w:r>
        <w:rPr>
          <w:rFonts w:hint="eastAsia" w:ascii="Times New Roman" w:hAnsi="Times New Roman" w:eastAsia="宋体" w:cs="Times New Roman"/>
          <w:color w:val="auto"/>
          <w:sz w:val="20"/>
          <w:szCs w:val="20"/>
          <w:lang w:val="en-US" w:eastAsia="zh-CN" w:bidi="ar-SA"/>
        </w:rPr>
        <w:t xml:space="preserve">N is the scaling factor, and in Rel-16 it is assumed that N=8. </w:t>
      </w:r>
    </w:p>
    <w:p>
      <w:pPr>
        <w:widowControl w:val="0"/>
        <w:numPr>
          <w:ilvl w:val="0"/>
          <w:numId w:val="0"/>
        </w:numPr>
        <w:jc w:val="both"/>
        <w:rPr>
          <w:rFonts w:hint="eastAsia"/>
          <w:sz w:val="20"/>
          <w:szCs w:val="20"/>
          <w:lang w:val="en-US" w:eastAsia="zh-CN"/>
        </w:rPr>
      </w:pPr>
      <w:r>
        <w:rPr>
          <w:rFonts w:hint="eastAsia"/>
          <w:sz w:val="20"/>
          <w:szCs w:val="20"/>
          <w:lang w:val="en-US" w:eastAsia="zh-CN"/>
        </w:rPr>
        <w:t xml:space="preserve">No matter Scenario A or Scenario B, the inter-distance between neighbour RRHs is 700 meters. For N=8, when DRX cycle is greater than 160 ms, the distance corresponding to the L1-RSRP measurement delay exceeds 700 meters, which can not be supported by HST FR2. But if we replace N=8 with N=1 or N=2, then </w:t>
      </w:r>
      <w:r>
        <w:rPr>
          <w:sz w:val="20"/>
          <w:szCs w:val="20"/>
        </w:rPr>
        <w:t>T</w:t>
      </w:r>
      <w:r>
        <w:rPr>
          <w:sz w:val="20"/>
          <w:szCs w:val="20"/>
          <w:vertAlign w:val="subscript"/>
        </w:rPr>
        <w:t>L1-RSRP_Measurement_Period_SSB</w:t>
      </w:r>
      <w:r>
        <w:rPr>
          <w:rFonts w:hint="eastAsia"/>
          <w:sz w:val="20"/>
          <w:szCs w:val="20"/>
          <w:lang w:val="en-US" w:eastAsia="zh-CN"/>
        </w:rPr>
        <w:t xml:space="preserve"> will be reduced to 1/8 or 1/4 of the current value. Which means more candidate DRX </w:t>
      </w:r>
      <w:r>
        <w:rPr>
          <w:rFonts w:hint="eastAsia" w:ascii="Times New Roman" w:hAnsi="Times New Roman" w:eastAsia="宋体" w:cs="Times New Roman"/>
          <w:color w:val="auto"/>
          <w:sz w:val="20"/>
          <w:szCs w:val="20"/>
          <w:lang w:val="en-US" w:eastAsia="zh-CN" w:bidi="ar-SA"/>
        </w:rPr>
        <w:t xml:space="preserve">cycles can be supported by the high-speed scenario.  </w:t>
      </w:r>
    </w:p>
    <w:p>
      <w:pPr>
        <w:widowControl w:val="0"/>
        <w:numPr>
          <w:ilvl w:val="0"/>
          <w:numId w:val="0"/>
        </w:numPr>
        <w:jc w:val="both"/>
        <w:rPr>
          <w:rFonts w:hint="default"/>
          <w:sz w:val="20"/>
          <w:szCs w:val="20"/>
          <w:lang w:val="en-US" w:eastAsia="zh-CN"/>
        </w:rPr>
      </w:pPr>
      <w:r>
        <w:rPr>
          <w:rFonts w:hint="eastAsia" w:eastAsia="宋体" w:cs="Times New Roman"/>
          <w:b/>
          <w:bCs/>
          <w:color w:val="auto"/>
          <w:sz w:val="20"/>
          <w:szCs w:val="20"/>
          <w:lang w:val="en-US" w:eastAsia="zh-CN" w:bidi="ar-SA"/>
        </w:rPr>
        <w:t>Proposal</w:t>
      </w:r>
      <w:r>
        <w:rPr>
          <w:rFonts w:hint="eastAsia" w:ascii="Times New Roman" w:hAnsi="Times New Roman" w:eastAsia="宋体" w:cs="Times New Roman"/>
          <w:b/>
          <w:bCs/>
          <w:color w:val="auto"/>
          <w:sz w:val="20"/>
          <w:szCs w:val="20"/>
          <w:lang w:val="en-US" w:eastAsia="zh-CN" w:bidi="ar-SA"/>
        </w:rPr>
        <w:t xml:space="preserve"> </w:t>
      </w:r>
      <w:r>
        <w:rPr>
          <w:rFonts w:hint="eastAsia" w:eastAsia="宋体" w:cs="Times New Roman"/>
          <w:b/>
          <w:bCs/>
          <w:color w:val="auto"/>
          <w:sz w:val="20"/>
          <w:szCs w:val="20"/>
          <w:lang w:val="en-US" w:eastAsia="zh-CN" w:bidi="ar-SA"/>
        </w:rPr>
        <w:t>3</w:t>
      </w:r>
      <w:r>
        <w:rPr>
          <w:rFonts w:hint="eastAsia" w:ascii="Times New Roman" w:hAnsi="Times New Roman" w:eastAsia="宋体" w:cs="Times New Roman"/>
          <w:b/>
          <w:bCs/>
          <w:color w:val="auto"/>
          <w:sz w:val="20"/>
          <w:szCs w:val="20"/>
          <w:lang w:val="en-US" w:eastAsia="zh-CN" w:bidi="ar-SA"/>
        </w:rPr>
        <w:t>:</w:t>
      </w:r>
      <w:r>
        <w:rPr>
          <w:rFonts w:hint="eastAsia" w:eastAsia="宋体" w:cs="Times New Roman"/>
          <w:b/>
          <w:bCs/>
          <w:color w:val="auto"/>
          <w:sz w:val="20"/>
          <w:szCs w:val="20"/>
          <w:lang w:val="en-US" w:eastAsia="zh-CN" w:bidi="ar-SA"/>
        </w:rPr>
        <w:t xml:space="preserve"> Smaller RX beam</w:t>
      </w:r>
      <w:r>
        <w:rPr>
          <w:rFonts w:hint="eastAsia" w:ascii="Times New Roman" w:hAnsi="Times New Roman" w:eastAsia="宋体" w:cs="Times New Roman"/>
          <w:b/>
          <w:bCs/>
          <w:color w:val="auto"/>
          <w:sz w:val="20"/>
          <w:szCs w:val="20"/>
          <w:lang w:val="en-US" w:eastAsia="zh-CN" w:bidi="ar-SA"/>
        </w:rPr>
        <w:t xml:space="preserve"> </w:t>
      </w:r>
      <w:r>
        <w:rPr>
          <w:rFonts w:hint="eastAsia" w:eastAsia="宋体" w:cs="Times New Roman"/>
          <w:b/>
          <w:bCs/>
          <w:color w:val="auto"/>
          <w:sz w:val="20"/>
          <w:szCs w:val="20"/>
          <w:lang w:val="en-US" w:eastAsia="zh-CN" w:bidi="ar-SA"/>
        </w:rPr>
        <w:t>number/scaling factor will relax the restriction on DRX cycle.</w:t>
      </w:r>
    </w:p>
    <w:p>
      <w:pPr>
        <w:pStyle w:val="4"/>
        <w:bidi w:val="0"/>
        <w:rPr>
          <w:rFonts w:hint="default"/>
          <w:color w:val="auto"/>
          <w:sz w:val="28"/>
          <w:szCs w:val="28"/>
          <w:lang w:val="en-US" w:eastAsia="zh-CN"/>
        </w:rPr>
      </w:pPr>
      <w:bookmarkStart w:id="1" w:name="OLE_LINK5"/>
      <w:r>
        <w:rPr>
          <w:rFonts w:hint="eastAsia"/>
          <w:color w:val="auto"/>
          <w:sz w:val="28"/>
          <w:szCs w:val="28"/>
          <w:lang w:val="en-US" w:eastAsia="zh-CN"/>
        </w:rPr>
        <w:t>2.3 Impact on the TCI state switching</w:t>
      </w:r>
    </w:p>
    <w:bookmarkEnd w:id="1"/>
    <w:p>
      <w:pPr>
        <w:widowControl w:val="0"/>
        <w:numPr>
          <w:ilvl w:val="0"/>
          <w:numId w:val="0"/>
        </w:numPr>
        <w:jc w:val="both"/>
        <w:rPr>
          <w:rFonts w:hint="eastAsia"/>
          <w:lang w:val="en-US" w:eastAsia="zh-CN"/>
        </w:rPr>
      </w:pPr>
      <w:r>
        <w:rPr>
          <w:rFonts w:hint="eastAsia"/>
          <w:lang w:val="en-US" w:eastAsia="zh-CN"/>
        </w:rPr>
        <w:t xml:space="preserve">In 98bis meeting, the following WF is achieved for active TCI state switching delay requirement [5]: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2" w:type="dxa"/>
          </w:tcPr>
          <w:p>
            <w:pPr>
              <w:pStyle w:val="27"/>
              <w:widowControl w:val="0"/>
              <w:numPr>
                <w:ilvl w:val="0"/>
                <w:numId w:val="6"/>
              </w:numPr>
              <w:overflowPunct/>
              <w:autoSpaceDE/>
              <w:autoSpaceDN/>
              <w:adjustRightInd/>
              <w:spacing w:after="0"/>
              <w:ind w:firstLineChars="0"/>
              <w:textAlignment w:val="auto"/>
              <w:rPr>
                <w:rFonts w:ascii="Times New Roman" w:hAnsi="Times New Roman" w:eastAsia="Malgun Gothic" w:cs="v4.2.0"/>
                <w:kern w:val="0"/>
                <w:sz w:val="20"/>
                <w:szCs w:val="24"/>
                <w:lang w:val="en-US" w:eastAsia="zh-CN" w:bidi="ar-SA"/>
              </w:rPr>
            </w:pPr>
            <w:r>
              <w:rPr>
                <w:rFonts w:ascii="Times New Roman" w:hAnsi="Times New Roman" w:eastAsia="Malgun Gothic" w:cs="v4.2.0"/>
                <w:kern w:val="0"/>
                <w:sz w:val="20"/>
                <w:szCs w:val="24"/>
                <w:lang w:val="en-US" w:eastAsia="zh-CN" w:bidi="ar-SA"/>
              </w:rPr>
              <w:t>Active TCI state switching delay:</w:t>
            </w:r>
          </w:p>
          <w:p>
            <w:pPr>
              <w:pStyle w:val="27"/>
              <w:widowControl w:val="0"/>
              <w:numPr>
                <w:ilvl w:val="1"/>
                <w:numId w:val="6"/>
              </w:numPr>
              <w:overflowPunct/>
              <w:autoSpaceDE/>
              <w:autoSpaceDN/>
              <w:adjustRightInd/>
              <w:spacing w:after="0"/>
              <w:ind w:firstLineChars="0"/>
              <w:textAlignment w:val="auto"/>
              <w:rPr>
                <w:rFonts w:ascii="Times New Roman" w:hAnsi="Times New Roman" w:eastAsia="Malgun Gothic" w:cs="v4.2.0"/>
                <w:kern w:val="0"/>
                <w:sz w:val="20"/>
                <w:szCs w:val="24"/>
                <w:lang w:val="en-US" w:eastAsia="zh-CN" w:bidi="ar-SA"/>
              </w:rPr>
            </w:pPr>
            <w:r>
              <w:rPr>
                <w:rFonts w:ascii="Times New Roman" w:hAnsi="Times New Roman" w:eastAsia="Malgun Gothic" w:cs="v4.2.0"/>
                <w:kern w:val="0"/>
                <w:sz w:val="20"/>
                <w:szCs w:val="24"/>
                <w:lang w:val="en-US" w:eastAsia="zh-CN" w:bidi="ar-SA"/>
              </w:rPr>
              <w:t>Option 1: Consider only known TCI state.</w:t>
            </w:r>
          </w:p>
          <w:p>
            <w:pPr>
              <w:pStyle w:val="27"/>
              <w:widowControl w:val="0"/>
              <w:numPr>
                <w:ilvl w:val="1"/>
                <w:numId w:val="6"/>
              </w:numPr>
              <w:overflowPunct/>
              <w:autoSpaceDE/>
              <w:autoSpaceDN/>
              <w:adjustRightInd/>
              <w:spacing w:after="0"/>
              <w:ind w:firstLineChars="0"/>
              <w:textAlignment w:val="auto"/>
              <w:rPr>
                <w:bCs/>
              </w:rPr>
            </w:pPr>
            <w:r>
              <w:rPr>
                <w:rFonts w:ascii="Times New Roman" w:hAnsi="Times New Roman" w:eastAsia="Malgun Gothic" w:cs="v4.2.0"/>
                <w:kern w:val="0"/>
                <w:sz w:val="20"/>
                <w:szCs w:val="24"/>
                <w:lang w:val="en-US" w:eastAsia="zh-CN" w:bidi="ar-SA"/>
              </w:rPr>
              <w:t>Option 2: Known or unknown TCI state switching is applied in FR2 HST depends on the deployment.</w:t>
            </w:r>
            <w:r>
              <w:rPr>
                <w:bCs/>
              </w:rPr>
              <w:t xml:space="preserve"> </w:t>
            </w:r>
          </w:p>
          <w:p>
            <w:pPr>
              <w:pStyle w:val="27"/>
              <w:widowControl w:val="0"/>
              <w:numPr>
                <w:ilvl w:val="2"/>
                <w:numId w:val="6"/>
              </w:numPr>
              <w:overflowPunct/>
              <w:autoSpaceDE/>
              <w:autoSpaceDN/>
              <w:adjustRightInd/>
              <w:spacing w:after="0"/>
              <w:ind w:firstLineChars="0"/>
              <w:textAlignment w:val="auto"/>
              <w:rPr>
                <w:bCs/>
              </w:rPr>
            </w:pPr>
            <w:r>
              <w:rPr>
                <w:rFonts w:ascii="Times New Roman" w:hAnsi="Times New Roman" w:eastAsia="Malgun Gothic" w:cs="v4.2.0"/>
                <w:kern w:val="0"/>
                <w:sz w:val="20"/>
                <w:szCs w:val="24"/>
                <w:lang w:val="en-US" w:eastAsia="zh-CN" w:bidi="ar-SA"/>
              </w:rPr>
              <w:t>If the overlapping area between serving beam and target beam is appropriate, the L1-RSRP measurement can be reported in time. The existing TCI switching delay can be reused in FR2 HST.</w:t>
            </w:r>
            <w:r>
              <w:rPr>
                <w:bCs/>
              </w:rPr>
              <w:t xml:space="preserve"> </w:t>
            </w:r>
          </w:p>
          <w:p>
            <w:pPr>
              <w:pStyle w:val="27"/>
              <w:widowControl w:val="0"/>
              <w:numPr>
                <w:ilvl w:val="2"/>
                <w:numId w:val="6"/>
              </w:numPr>
              <w:overflowPunct/>
              <w:autoSpaceDE/>
              <w:autoSpaceDN/>
              <w:adjustRightInd/>
              <w:spacing w:after="0"/>
              <w:ind w:firstLineChars="0"/>
              <w:textAlignment w:val="auto"/>
              <w:rPr>
                <w:rFonts w:ascii="Times New Roman" w:hAnsi="Times New Roman" w:eastAsia="Malgun Gothic" w:cs="v4.2.0"/>
                <w:kern w:val="0"/>
                <w:sz w:val="20"/>
                <w:szCs w:val="24"/>
                <w:lang w:val="en-US" w:eastAsia="zh-CN" w:bidi="ar-SA"/>
              </w:rPr>
            </w:pPr>
            <w:r>
              <w:rPr>
                <w:rFonts w:ascii="Times New Roman" w:hAnsi="Times New Roman" w:eastAsia="Malgun Gothic" w:cs="v4.2.0"/>
                <w:kern w:val="0"/>
                <w:sz w:val="20"/>
                <w:szCs w:val="24"/>
                <w:lang w:val="en-US" w:eastAsia="zh-CN" w:bidi="ar-SA"/>
              </w:rPr>
              <w:t>If UE is not able to report L1-RSRP of the approaching beam before network indicates a TCI state switching, L1-RSRP measurement procedure will be additional added. The performance shall be carefully studied</w:t>
            </w:r>
            <w:r>
              <w:rPr>
                <w:rFonts w:hint="eastAsia" w:ascii="Times New Roman" w:hAnsi="Times New Roman" w:eastAsia="Malgun Gothic" w:cs="v4.2.0"/>
                <w:kern w:val="0"/>
                <w:sz w:val="20"/>
                <w:szCs w:val="24"/>
                <w:lang w:val="en-US" w:eastAsia="zh-CN" w:bidi="ar-SA"/>
              </w:rPr>
              <w:t>.</w:t>
            </w:r>
          </w:p>
          <w:p>
            <w:pPr>
              <w:pStyle w:val="27"/>
              <w:widowControl w:val="0"/>
              <w:numPr>
                <w:ilvl w:val="1"/>
                <w:numId w:val="6"/>
              </w:numPr>
              <w:overflowPunct/>
              <w:autoSpaceDE/>
              <w:autoSpaceDN/>
              <w:adjustRightInd/>
              <w:spacing w:after="0"/>
              <w:ind w:firstLineChars="0"/>
              <w:jc w:val="both"/>
              <w:textAlignment w:val="auto"/>
              <w:rPr>
                <w:bCs/>
              </w:rPr>
            </w:pPr>
            <w:r>
              <w:rPr>
                <w:rFonts w:ascii="Times New Roman" w:hAnsi="Times New Roman" w:eastAsia="Malgun Gothic" w:cs="v4.2.0"/>
                <w:kern w:val="0"/>
                <w:sz w:val="20"/>
                <w:szCs w:val="24"/>
                <w:lang w:val="en-US" w:eastAsia="zh-CN" w:bidi="ar-SA"/>
              </w:rPr>
              <w:t>Other options are not precluded</w:t>
            </w:r>
          </w:p>
        </w:tc>
      </w:tr>
    </w:tbl>
    <w:p>
      <w:pPr>
        <w:widowControl w:val="0"/>
        <w:numPr>
          <w:ilvl w:val="0"/>
          <w:numId w:val="0"/>
        </w:numPr>
        <w:jc w:val="both"/>
        <w:rPr>
          <w:rFonts w:hint="default"/>
          <w:lang w:val="en-US" w:eastAsia="zh-CN"/>
        </w:rPr>
      </w:pPr>
      <w:r>
        <w:rPr>
          <w:rFonts w:hint="eastAsia"/>
          <w:u w:val="none"/>
          <w:lang w:val="en-US" w:eastAsia="zh-CN"/>
        </w:rPr>
        <w:t>The biggest divergence between Option1 and Option 2 is whether unknown case is considered in FR2 HST. Refer to TS 38.133, W</w:t>
      </w:r>
      <w:r>
        <w:rPr>
          <w:rFonts w:hint="eastAsia"/>
          <w:lang w:val="en-US" w:eastAsia="zh-CN"/>
        </w:rPr>
        <w:t>hen the following rules are met, the target TCI state can be seen as known: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tabs>
                <w:tab w:val="left" w:pos="0"/>
              </w:tabs>
              <w:kinsoku/>
              <w:wordWrap/>
              <w:overflowPunct/>
              <w:topLinePunct w:val="0"/>
              <w:autoSpaceDE/>
              <w:autoSpaceDN/>
              <w:bidi w:val="0"/>
              <w:adjustRightInd/>
              <w:snapToGrid/>
              <w:textAlignment w:val="auto"/>
              <w:rPr>
                <w:rFonts w:hint="default" w:eastAsia="Malgun Gothic" w:cs="v4.2.0"/>
                <w:color w:val="1D41D5"/>
                <w:lang w:val="en-US" w:eastAsia="zh-CN"/>
              </w:rPr>
            </w:pPr>
            <w:bookmarkStart w:id="2" w:name="OLE_LINK38"/>
            <w:r>
              <w:rPr>
                <w:rFonts w:eastAsia="Malgun Gothic" w:cs="v4.2.0"/>
                <w:lang w:val="en-US" w:eastAsia="zh-CN"/>
              </w:rPr>
              <w:t>T</w:t>
            </w:r>
            <w:r>
              <w:rPr>
                <w:rFonts w:eastAsia="Malgun Gothic" w:cs="v4.2.0"/>
                <w:lang w:eastAsia="zh-CN"/>
              </w:rPr>
              <w:t>he TCI state is known if the following conditions</w:t>
            </w:r>
            <w:bookmarkEnd w:id="2"/>
            <w:r>
              <w:rPr>
                <w:rFonts w:eastAsia="Malgun Gothic" w:cs="v4.2.0"/>
                <w:lang w:eastAsia="zh-CN"/>
              </w:rPr>
              <w:t xml:space="preserve"> are met:</w:t>
            </w:r>
            <w:r>
              <w:rPr>
                <w:rFonts w:hint="eastAsia" w:eastAsia="Malgun Gothic" w:cs="v4.2.0"/>
                <w:lang w:val="en-US" w:eastAsia="zh-CN"/>
              </w:rPr>
              <w:t xml:space="preserve"> </w:t>
            </w:r>
          </w:p>
          <w:p>
            <w:pPr>
              <w:pStyle w:val="29"/>
              <w:keepNext w:val="0"/>
              <w:keepLines w:val="0"/>
              <w:pageBreakBefore w:val="0"/>
              <w:widowControl/>
              <w:kinsoku/>
              <w:wordWrap/>
              <w:overflowPunct/>
              <w:topLinePunct w:val="0"/>
              <w:autoSpaceDE/>
              <w:autoSpaceDN/>
              <w:bidi w:val="0"/>
              <w:adjustRightInd/>
              <w:snapToGrid/>
              <w:spacing w:after="0"/>
              <w:textAlignment w:val="auto"/>
              <w:rPr>
                <w:rFonts w:hint="eastAsia"/>
                <w:lang w:val="en-US" w:eastAsia="zh-CN"/>
              </w:rPr>
            </w:pPr>
            <w:r>
              <w:rPr>
                <w:lang w:eastAsia="zh-CN"/>
              </w:rPr>
              <w:t>-</w:t>
            </w:r>
            <w:r>
              <w:rPr>
                <w:lang w:eastAsia="zh-CN"/>
              </w:rPr>
              <w:tab/>
            </w:r>
            <w:r>
              <w:rPr>
                <w:lang w:eastAsia="zh-CN"/>
              </w:rPr>
              <w:t xml:space="preserve">During the period from the last transmission of the RS resource used for the L1-RSRP measurement reporting </w:t>
            </w:r>
            <w:r>
              <w:t>for the target TCI state to the completion of active TCI state switch, where the RS resource for L1-RSRP measurement is the RS i</w:t>
            </w:r>
            <w:r>
              <w:rPr>
                <w:highlight w:val="none"/>
              </w:rPr>
              <w:t>n target TCI state o</w:t>
            </w:r>
            <w:r>
              <w:t>r QCLed to the target TCI state</w:t>
            </w:r>
            <w:r>
              <w:rPr>
                <w:rFonts w:hint="eastAsia"/>
                <w:lang w:val="en-US" w:eastAsia="zh-CN"/>
              </w:rPr>
              <w:t xml:space="preserve"> </w:t>
            </w:r>
          </w:p>
          <w:p>
            <w:pPr>
              <w:pStyle w:val="29"/>
              <w:keepNext w:val="0"/>
              <w:keepLines w:val="0"/>
              <w:pageBreakBefore w:val="0"/>
              <w:widowControl/>
              <w:kinsoku/>
              <w:wordWrap/>
              <w:overflowPunct/>
              <w:topLinePunct w:val="0"/>
              <w:autoSpaceDE/>
              <w:autoSpaceDN/>
              <w:bidi w:val="0"/>
              <w:adjustRightInd/>
              <w:snapToGrid/>
              <w:spacing w:after="0"/>
              <w:textAlignment w:val="auto"/>
              <w:rPr>
                <w:rFonts w:hint="eastAsia"/>
                <w:color w:val="1D41D5"/>
                <w:sz w:val="18"/>
                <w:szCs w:val="18"/>
                <w:lang w:val="en-US" w:eastAsia="zh-CN"/>
              </w:rPr>
            </w:pPr>
            <w:r>
              <w:rPr>
                <w:lang w:eastAsia="zh-CN"/>
              </w:rPr>
              <w:t>-</w:t>
            </w:r>
            <w:r>
              <w:rPr>
                <w:lang w:eastAsia="zh-CN"/>
              </w:rPr>
              <w:tab/>
            </w:r>
            <w:r>
              <w:rPr>
                <w:lang w:eastAsia="zh-CN"/>
              </w:rPr>
              <w:t xml:space="preserve">TCI state switch command is received within 1280 ms upon the last transmission of the RS resource for beam reporting or measurement </w:t>
            </w:r>
          </w:p>
          <w:p>
            <w:pPr>
              <w:pStyle w:val="29"/>
              <w:keepNext w:val="0"/>
              <w:keepLines w:val="0"/>
              <w:pageBreakBefore w:val="0"/>
              <w:widowControl/>
              <w:kinsoku/>
              <w:wordWrap/>
              <w:overflowPunct/>
              <w:topLinePunct w:val="0"/>
              <w:autoSpaceDE/>
              <w:autoSpaceDN/>
              <w:bidi w:val="0"/>
              <w:adjustRightInd/>
              <w:snapToGrid/>
              <w:spacing w:after="0"/>
              <w:textAlignment w:val="auto"/>
              <w:rPr>
                <w:rFonts w:hint="eastAsia"/>
                <w:color w:val="1D41D5"/>
                <w:sz w:val="18"/>
                <w:szCs w:val="18"/>
                <w:lang w:val="en-US" w:eastAsia="zh-CN"/>
              </w:rPr>
            </w:pPr>
            <w:r>
              <w:rPr>
                <w:rFonts w:hint="eastAsia"/>
                <w:lang w:val="en-US" w:eastAsia="zh-CN"/>
              </w:rPr>
              <w:t xml:space="preserve">-  </w:t>
            </w:r>
            <w:r>
              <w:rPr>
                <w:lang w:eastAsia="zh-CN"/>
              </w:rPr>
              <w:t>The UE has sent at least 1 L1-RSRP report for the target TCI state before the TCI state switch command</w:t>
            </w:r>
            <w:r>
              <w:rPr>
                <w:rFonts w:hint="eastAsia"/>
                <w:lang w:val="en-US" w:eastAsia="zh-CN"/>
              </w:rPr>
              <w:t xml:space="preserve"> </w:t>
            </w:r>
          </w:p>
          <w:p>
            <w:pPr>
              <w:pStyle w:val="29"/>
              <w:keepNext w:val="0"/>
              <w:keepLines w:val="0"/>
              <w:pageBreakBefore w:val="0"/>
              <w:widowControl/>
              <w:kinsoku/>
              <w:wordWrap/>
              <w:overflowPunct/>
              <w:topLinePunct w:val="0"/>
              <w:autoSpaceDE/>
              <w:autoSpaceDN/>
              <w:bidi w:val="0"/>
              <w:adjustRightInd/>
              <w:snapToGrid/>
              <w:spacing w:after="0"/>
              <w:textAlignment w:val="auto"/>
              <w:rPr>
                <w:rFonts w:hint="default"/>
                <w:lang w:val="en-US" w:eastAsia="zh-CN"/>
              </w:rPr>
            </w:pPr>
            <w:r>
              <w:rPr>
                <w:lang w:eastAsia="zh-CN"/>
              </w:rPr>
              <w:t>-</w:t>
            </w:r>
            <w:r>
              <w:rPr>
                <w:lang w:eastAsia="zh-CN"/>
              </w:rPr>
              <w:tab/>
            </w:r>
            <w:r>
              <w:rPr>
                <w:lang w:eastAsia="zh-CN"/>
              </w:rPr>
              <w:t>The TCI state remains detectable during the TCI state switching period</w:t>
            </w:r>
            <w:r>
              <w:rPr>
                <w:rFonts w:hint="eastAsia"/>
                <w:lang w:val="en-US" w:eastAsia="zh-CN"/>
              </w:rPr>
              <w:t xml:space="preserve"> </w:t>
            </w:r>
            <w:r>
              <w:rPr>
                <w:lang w:eastAsia="zh-CN"/>
              </w:rPr>
              <w:t>-</w:t>
            </w:r>
            <w:r>
              <w:rPr>
                <w:lang w:eastAsia="zh-CN"/>
              </w:rPr>
              <w:tab/>
            </w:r>
            <w:bookmarkStart w:id="3" w:name="_Hlk18067072"/>
            <w:r>
              <w:rPr>
                <w:lang w:eastAsia="zh-CN"/>
              </w:rPr>
              <w:t>The SSB associated with the TCI state remain detectable during the TCI switching period</w:t>
            </w:r>
            <w:bookmarkEnd w:id="3"/>
          </w:p>
          <w:p>
            <w:pPr>
              <w:pStyle w:val="53"/>
              <w:keepNext w:val="0"/>
              <w:keepLines w:val="0"/>
              <w:pageBreakBefore w:val="0"/>
              <w:widowControl/>
              <w:kinsoku/>
              <w:wordWrap/>
              <w:overflowPunct/>
              <w:topLinePunct w:val="0"/>
              <w:autoSpaceDE/>
              <w:autoSpaceDN/>
              <w:bidi w:val="0"/>
              <w:adjustRightInd/>
              <w:snapToGrid/>
              <w:textAlignment w:val="auto"/>
              <w:rPr>
                <w:rFonts w:hint="default"/>
                <w:vertAlign w:val="baseline"/>
                <w:lang w:val="en-US" w:eastAsia="zh-CN"/>
              </w:rPr>
            </w:pPr>
            <w:r>
              <w:rPr>
                <w:lang w:eastAsia="zh-CN"/>
              </w:rPr>
              <w:t>-</w:t>
            </w:r>
            <w:r>
              <w:rPr>
                <w:lang w:eastAsia="zh-CN"/>
              </w:rPr>
              <w:tab/>
            </w:r>
            <w:r>
              <w:rPr>
                <w:lang w:eastAsia="zh-CN"/>
              </w:rPr>
              <w:t xml:space="preserve">SNR of the TCI state </w:t>
            </w:r>
            <w:r>
              <w:rPr>
                <w:rFonts w:eastAsia="Calibri"/>
              </w:rPr>
              <w:t>≥</w:t>
            </w:r>
            <w:r>
              <w:rPr>
                <w:lang w:eastAsia="zh-CN"/>
              </w:rPr>
              <w:t xml:space="preserve"> -3dB</w:t>
            </w:r>
            <w:r>
              <w:rPr>
                <w:rFonts w:hint="eastAsia"/>
                <w:lang w:val="en-US" w:eastAsia="zh-CN"/>
              </w:rPr>
              <w:t xml:space="preserve">  </w:t>
            </w:r>
          </w:p>
        </w:tc>
      </w:tr>
    </w:tbl>
    <w:p>
      <w:pPr>
        <w:widowControl w:val="0"/>
        <w:numPr>
          <w:ilvl w:val="0"/>
          <w:numId w:val="0"/>
        </w:numPr>
        <w:jc w:val="both"/>
        <w:rPr>
          <w:rFonts w:hint="eastAsia"/>
          <w:lang w:val="en-US" w:eastAsia="zh-CN"/>
        </w:rPr>
      </w:pPr>
      <w:r>
        <w:rPr>
          <w:rFonts w:hint="eastAsia"/>
          <w:lang w:val="en-US" w:eastAsia="zh-CN"/>
        </w:rPr>
        <w:t>Otherwise, the CPE considers that the target TCI state is unknown. When the CPE moves at the speed of 350 km/h, it can move about 124 meters within the 1280 ms. In order to obtain an accurate L1-RSRP measurement report by NW from CPE, which means the CPE should operate the L1-RSRP measurement at the overlapping area covered by the current serving beam and target beam. At the same time such overlapping area should not exceed 124 meters.   In the case of Scenario A bi-directional and Scenario B bi-directional deployments, it may be difficult to meet such two requirements at the same time. Therefore, the unknown case still needs to be considered, so we support Option 2.</w:t>
      </w:r>
    </w:p>
    <w:p>
      <w:pPr>
        <w:pStyle w:val="3"/>
        <w:keepNext w:val="0"/>
        <w:keepLines w:val="0"/>
        <w:pageBreakBefore w:val="0"/>
        <w:widowControl/>
        <w:kinsoku/>
        <w:wordWrap/>
        <w:overflowPunct/>
        <w:topLinePunct w:val="0"/>
        <w:autoSpaceDE/>
        <w:autoSpaceDN/>
        <w:bidi w:val="0"/>
        <w:adjustRightInd/>
        <w:snapToGrid/>
        <w:textAlignment w:val="auto"/>
        <w:rPr>
          <w:rFonts w:hint="eastAsia"/>
          <w:sz w:val="20"/>
          <w:szCs w:val="20"/>
          <w:lang w:val="en-US" w:eastAsia="zh-CN"/>
        </w:rPr>
      </w:pPr>
      <w:bookmarkStart w:id="4" w:name="OLE_LINK2"/>
      <w:r>
        <w:rPr>
          <w:rFonts w:hint="eastAsia" w:eastAsia="宋体" w:cs="Times New Roman"/>
          <w:b/>
          <w:bCs/>
          <w:color w:val="auto"/>
          <w:sz w:val="20"/>
          <w:szCs w:val="20"/>
          <w:lang w:val="en-US" w:eastAsia="zh-CN" w:bidi="ar-SA"/>
        </w:rPr>
        <w:t>Observation</w:t>
      </w:r>
      <w:r>
        <w:rPr>
          <w:rFonts w:hint="eastAsia" w:ascii="Times New Roman" w:hAnsi="Times New Roman" w:eastAsia="宋体" w:cs="Times New Roman"/>
          <w:b/>
          <w:bCs/>
          <w:color w:val="auto"/>
          <w:sz w:val="20"/>
          <w:szCs w:val="20"/>
          <w:lang w:val="en-US" w:eastAsia="zh-CN" w:bidi="ar-SA"/>
        </w:rPr>
        <w:t xml:space="preserve"> </w:t>
      </w:r>
      <w:r>
        <w:rPr>
          <w:rFonts w:hint="eastAsia" w:eastAsia="宋体" w:cs="Times New Roman"/>
          <w:b/>
          <w:bCs/>
          <w:color w:val="auto"/>
          <w:sz w:val="20"/>
          <w:szCs w:val="20"/>
          <w:lang w:val="en-US" w:eastAsia="zh-CN" w:bidi="ar-SA"/>
        </w:rPr>
        <w:t>1</w:t>
      </w:r>
      <w:r>
        <w:rPr>
          <w:rFonts w:hint="eastAsia" w:ascii="Times New Roman" w:hAnsi="Times New Roman" w:eastAsia="宋体" w:cs="Times New Roman"/>
          <w:b/>
          <w:bCs/>
          <w:color w:val="auto"/>
          <w:sz w:val="20"/>
          <w:szCs w:val="20"/>
          <w:lang w:val="en-US" w:eastAsia="zh-CN" w:bidi="ar-SA"/>
        </w:rPr>
        <w:t xml:space="preserve">: </w:t>
      </w:r>
      <w:bookmarkEnd w:id="4"/>
      <w:r>
        <w:rPr>
          <w:rFonts w:hint="eastAsia" w:ascii="Times New Roman" w:hAnsi="Times New Roman" w:eastAsia="宋体" w:cs="Times New Roman"/>
          <w:b/>
          <w:bCs/>
          <w:color w:val="auto"/>
          <w:sz w:val="20"/>
          <w:szCs w:val="20"/>
          <w:lang w:val="en-US" w:eastAsia="zh-CN" w:bidi="ar-SA"/>
        </w:rPr>
        <w:t>The known TCI state condition may not be satisfied especially for Scenario A bi-directional, Scenario B bi-directio</w:t>
      </w:r>
      <w:r>
        <w:rPr>
          <w:rFonts w:hint="eastAsia" w:eastAsia="宋体" w:cs="Times New Roman"/>
          <w:b/>
          <w:bCs/>
          <w:color w:val="auto"/>
          <w:sz w:val="20"/>
          <w:szCs w:val="20"/>
          <w:lang w:val="en-US" w:eastAsia="zh-CN" w:bidi="ar-SA"/>
        </w:rPr>
        <w:t>na</w:t>
      </w:r>
      <w:r>
        <w:rPr>
          <w:rFonts w:hint="eastAsia" w:ascii="Times New Roman" w:hAnsi="Times New Roman" w:eastAsia="宋体" w:cs="Times New Roman"/>
          <w:b/>
          <w:bCs/>
          <w:color w:val="auto"/>
          <w:sz w:val="20"/>
          <w:szCs w:val="20"/>
          <w:lang w:val="en-US" w:eastAsia="zh-CN" w:bidi="ar-SA"/>
        </w:rPr>
        <w:t xml:space="preserve">l RRH deployments. </w:t>
      </w:r>
    </w:p>
    <w:p>
      <w:pPr>
        <w:widowControl w:val="0"/>
        <w:numPr>
          <w:ilvl w:val="0"/>
          <w:numId w:val="0"/>
        </w:numPr>
        <w:jc w:val="both"/>
        <w:rPr>
          <w:rFonts w:hint="default"/>
          <w:sz w:val="20"/>
          <w:szCs w:val="20"/>
          <w:lang w:val="en-US" w:eastAsia="zh-CN"/>
        </w:rPr>
      </w:pPr>
      <w:r>
        <w:rPr>
          <w:rFonts w:hint="eastAsia" w:eastAsia="宋体" w:cs="Times New Roman"/>
          <w:b/>
          <w:bCs/>
          <w:color w:val="auto"/>
          <w:sz w:val="20"/>
          <w:szCs w:val="20"/>
          <w:lang w:val="en-US" w:eastAsia="zh-CN" w:bidi="ar-SA"/>
        </w:rPr>
        <w:t>Proposal</w:t>
      </w:r>
      <w:r>
        <w:rPr>
          <w:rFonts w:hint="eastAsia" w:ascii="Times New Roman" w:hAnsi="Times New Roman" w:eastAsia="宋体" w:cs="Times New Roman"/>
          <w:b/>
          <w:bCs/>
          <w:color w:val="auto"/>
          <w:sz w:val="20"/>
          <w:szCs w:val="20"/>
          <w:lang w:val="en-US" w:eastAsia="zh-CN" w:bidi="ar-SA"/>
        </w:rPr>
        <w:t xml:space="preserve"> </w:t>
      </w:r>
      <w:r>
        <w:rPr>
          <w:rFonts w:hint="eastAsia" w:eastAsia="宋体" w:cs="Times New Roman"/>
          <w:b/>
          <w:bCs/>
          <w:color w:val="auto"/>
          <w:sz w:val="20"/>
          <w:szCs w:val="20"/>
          <w:lang w:val="en-US" w:eastAsia="zh-CN" w:bidi="ar-SA"/>
        </w:rPr>
        <w:t>4</w:t>
      </w:r>
      <w:r>
        <w:rPr>
          <w:rFonts w:hint="eastAsia" w:ascii="Times New Roman" w:hAnsi="Times New Roman" w:eastAsia="宋体" w:cs="Times New Roman"/>
          <w:b/>
          <w:bCs/>
          <w:color w:val="auto"/>
          <w:sz w:val="20"/>
          <w:szCs w:val="20"/>
          <w:lang w:val="en-US" w:eastAsia="zh-CN" w:bidi="ar-SA"/>
        </w:rPr>
        <w:t>:</w:t>
      </w:r>
      <w:r>
        <w:rPr>
          <w:rFonts w:hint="eastAsia" w:eastAsia="宋体" w:cs="Times New Roman"/>
          <w:b/>
          <w:bCs/>
          <w:color w:val="auto"/>
          <w:sz w:val="20"/>
          <w:szCs w:val="20"/>
          <w:lang w:val="en-US" w:eastAsia="zh-CN" w:bidi="ar-SA"/>
        </w:rPr>
        <w:t xml:space="preserve"> For bi-directional deployment, all of the known rules are not always met, so Known and unknown TCI state switching should be applied in FR2 HST depends on the deployment. </w:t>
      </w:r>
    </w:p>
    <w:p>
      <w:pPr>
        <w:widowControl w:val="0"/>
        <w:numPr>
          <w:ilvl w:val="0"/>
          <w:numId w:val="0"/>
        </w:numPr>
        <w:jc w:val="both"/>
        <w:rPr>
          <w:rFonts w:hint="default"/>
          <w:lang w:val="en-US" w:eastAsia="zh-CN"/>
        </w:rPr>
      </w:pPr>
      <w:r>
        <w:rPr>
          <w:rFonts w:hint="eastAsia"/>
          <w:lang w:val="en-US" w:eastAsia="zh-CN"/>
        </w:rPr>
        <w:t xml:space="preserve">For unknown case, compared with known case, an additional </w:t>
      </w:r>
      <w:r>
        <w:rPr>
          <w:lang w:eastAsia="en-GB"/>
        </w:rPr>
        <w:t>T</w:t>
      </w:r>
      <w:r>
        <w:rPr>
          <w:vertAlign w:val="subscript"/>
          <w:lang w:eastAsia="en-GB"/>
        </w:rPr>
        <w:t>L1-RSRP</w:t>
      </w:r>
      <w:r>
        <w:rPr>
          <w:rFonts w:hint="eastAsia"/>
          <w:lang w:val="en-US" w:eastAsia="zh-CN"/>
        </w:rPr>
        <w:t xml:space="preserve"> is introduced. For SSB based L1-RSRP measurement and CSI-RS based L1-RSRP measurement, the measurement delays are respectively referred to Table 9.5.4.1-2 and Table 9.5.4.1-2.</w:t>
      </w:r>
    </w:p>
    <w:p>
      <w:pPr>
        <w:pStyle w:val="35"/>
      </w:pPr>
      <w:r>
        <w:t>Table 9.5.4.1-2: Measurement period T</w:t>
      </w:r>
      <w:r>
        <w:rPr>
          <w:vertAlign w:val="subscript"/>
        </w:rPr>
        <w:t>L1-RSRP_Measurement_Period_SSB</w:t>
      </w:r>
      <w:r>
        <w:t xml:space="preserve"> for FR2</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32"/>
            </w:pPr>
            <w:r>
              <w:t>T</w:t>
            </w:r>
            <w:r>
              <w:rPr>
                <w:vertAlign w:val="subscript"/>
              </w:rPr>
              <w:t>L1-RSRP_Measurement_Period_SSB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non-DRX</w:t>
            </w:r>
          </w:p>
        </w:tc>
        <w:tc>
          <w:tcPr>
            <w:tcW w:w="4582" w:type="dxa"/>
            <w:tcBorders>
              <w:top w:val="single" w:color="auto" w:sz="4" w:space="0"/>
              <w:left w:val="single" w:color="auto" w:sz="4" w:space="0"/>
              <w:bottom w:val="single" w:color="auto" w:sz="4" w:space="0"/>
              <w:right w:val="single" w:color="auto" w:sz="4" w:space="0"/>
            </w:tcBorders>
          </w:tcPr>
          <w:p>
            <w:pPr>
              <w:pStyle w:val="33"/>
            </w:pPr>
            <w:r>
              <w:rPr>
                <w:rFonts w:cs="v4.2.0"/>
              </w:rPr>
              <w:t>max(T</w:t>
            </w:r>
            <w:r>
              <w:rPr>
                <w:rFonts w:cs="v4.2.0"/>
                <w:vertAlign w:val="subscript"/>
              </w:rPr>
              <w:t>Report</w:t>
            </w:r>
            <w:r>
              <w:rPr>
                <w:rFonts w:cs="v4.2.0"/>
              </w:rPr>
              <w:t>, ceil(M*P*N)*T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33"/>
            </w:pPr>
            <w:r>
              <w:rPr>
                <w:rFonts w:cs="v4.2.0"/>
              </w:rPr>
              <w:t>max(T</w:t>
            </w:r>
            <w:r>
              <w:rPr>
                <w:rFonts w:cs="v4.2.0"/>
                <w:vertAlign w:val="subscript"/>
              </w:rPr>
              <w:t>Report</w:t>
            </w:r>
            <w:r>
              <w:rPr>
                <w:rFonts w:cs="v4.2.0"/>
              </w:rPr>
              <w:t>, ceil(1.5*M*P*N)*max(T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3"/>
            </w:pPr>
            <w:r>
              <w:rPr>
                <w:rFonts w:cs="v4.2.0"/>
              </w:rPr>
              <w:t>ceil(1.5*M*P*N)*T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51"/>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pPr>
        <w:widowControl w:val="0"/>
        <w:numPr>
          <w:ilvl w:val="0"/>
          <w:numId w:val="0"/>
        </w:numPr>
        <w:ind w:firstLine="400" w:firstLineChars="200"/>
        <w:jc w:val="both"/>
        <w:rPr>
          <w:rFonts w:hint="eastAsia"/>
          <w:lang w:val="en-US" w:eastAsia="zh-CN"/>
        </w:rPr>
      </w:pPr>
    </w:p>
    <w:p>
      <w:pPr>
        <w:pStyle w:val="35"/>
      </w:pPr>
      <w:r>
        <w:t>Table 9.5.4.2-2: Measurement period T</w:t>
      </w:r>
      <w:r>
        <w:rPr>
          <w:vertAlign w:val="subscript"/>
        </w:rPr>
        <w:t>L1-RSRP_Measurement_Period_CSI-RS</w:t>
      </w:r>
      <w:r>
        <w:t xml:space="preserve"> for FR2</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32"/>
            </w:pPr>
            <w:r>
              <w:t>T</w:t>
            </w:r>
            <w:r>
              <w:rPr>
                <w:vertAlign w:val="subscript"/>
              </w:rPr>
              <w:t>L1-RSRP_Measurement_Period_CSI-RS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non-DRX</w:t>
            </w:r>
          </w:p>
        </w:tc>
        <w:tc>
          <w:tcPr>
            <w:tcW w:w="4582" w:type="dxa"/>
            <w:tcBorders>
              <w:top w:val="single" w:color="auto" w:sz="4" w:space="0"/>
              <w:left w:val="single" w:color="auto" w:sz="4" w:space="0"/>
              <w:bottom w:val="single" w:color="auto" w:sz="4" w:space="0"/>
              <w:right w:val="single" w:color="auto" w:sz="4" w:space="0"/>
            </w:tcBorders>
          </w:tcPr>
          <w:p>
            <w:pPr>
              <w:pStyle w:val="33"/>
            </w:pPr>
            <w:r>
              <w:rPr>
                <w:rFonts w:cs="v4.2.0"/>
              </w:rPr>
              <w:t>max(T</w:t>
            </w:r>
            <w:r>
              <w:rPr>
                <w:rFonts w:cs="v4.2.0"/>
                <w:vertAlign w:val="subscript"/>
              </w:rPr>
              <w:t>Report</w:t>
            </w:r>
            <w:r>
              <w:rPr>
                <w:rFonts w:cs="v4.2.0"/>
              </w:rPr>
              <w:t>, ceil(M*P*N)*T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33"/>
            </w:pPr>
            <w:r>
              <w:rPr>
                <w:rFonts w:cs="v4.2.0"/>
              </w:rPr>
              <w:t>max(T</w:t>
            </w:r>
            <w:r>
              <w:rPr>
                <w:rFonts w:cs="v4.2.0"/>
                <w:vertAlign w:val="subscript"/>
              </w:rPr>
              <w:t>Report</w:t>
            </w:r>
            <w:r>
              <w:rPr>
                <w:rFonts w:cs="v4.2.0"/>
              </w:rPr>
              <w:t>, ceil(1.5*M*P*N)*max(T</w:t>
            </w:r>
            <w:r>
              <w:rPr>
                <w:rFonts w:cs="v4.2.0"/>
                <w:vertAlign w:val="subscript"/>
              </w:rPr>
              <w:t>DRX</w:t>
            </w:r>
            <w:r>
              <w:rPr>
                <w:rFonts w:cs="v4.2.0"/>
              </w:rPr>
              <w:t>,T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3"/>
            </w:pPr>
            <w:r>
              <w:rPr>
                <w:rFonts w:cs="v4.2.0"/>
              </w:rPr>
              <w:t>ceil(M*P*N)*T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51"/>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51"/>
              <w:rPr>
                <w:rFonts w:cs="v4.2.0"/>
              </w:rPr>
            </w:pPr>
            <w:r>
              <w:t>Note 2:</w:t>
            </w:r>
            <w:r>
              <w:rPr>
                <w:sz w:val="28"/>
              </w:rPr>
              <w:tab/>
            </w:r>
            <w:r>
              <w:t>the requirements are applicable provided that the CSI-RS resource configured for L1-RSRP measurement is transmitted with Density = 3.</w:t>
            </w:r>
          </w:p>
        </w:tc>
      </w:tr>
    </w:tbl>
    <w:p>
      <w:pPr>
        <w:widowControl w:val="0"/>
        <w:numPr>
          <w:ilvl w:val="0"/>
          <w:numId w:val="0"/>
        </w:numPr>
        <w:jc w:val="both"/>
        <w:rPr>
          <w:rFonts w:hint="default"/>
          <w:lang w:val="en-US" w:eastAsia="zh-CN"/>
        </w:rPr>
      </w:pPr>
      <w:r>
        <w:rPr>
          <w:rFonts w:hint="eastAsia"/>
          <w:lang w:val="en-US" w:eastAsia="zh-CN"/>
        </w:rPr>
        <w:t xml:space="preserve">Wherein with the general assumption as M=3, N= RX beam number. Multiple values of P exist determined by the SSB occasion configuration and measurement gap configuration. Assuming the typical configuration </w:t>
      </w:r>
      <w:r>
        <w:rPr>
          <w:rFonts w:cs="v4.2.0"/>
        </w:rPr>
        <w:t>T</w:t>
      </w:r>
      <w:r>
        <w:rPr>
          <w:rFonts w:cs="v4.2.0"/>
          <w:vertAlign w:val="subscript"/>
        </w:rPr>
        <w:t>SSB</w:t>
      </w:r>
      <w:r>
        <w:rPr>
          <w:rFonts w:hint="eastAsia"/>
          <w:lang w:val="en-US" w:eastAsia="zh-CN"/>
        </w:rPr>
        <w:t xml:space="preserve">=20 ms, </w:t>
      </w:r>
      <w:r>
        <w:t>T</w:t>
      </w:r>
      <w:r>
        <w:rPr>
          <w:vertAlign w:val="subscript"/>
        </w:rPr>
        <w:t>SMTCperiod</w:t>
      </w:r>
      <w:r>
        <w:rPr>
          <w:rFonts w:hint="eastAsia"/>
          <w:lang w:val="en-US" w:eastAsia="zh-CN"/>
        </w:rPr>
        <w:t>=40 ms and MGRP=40 ms are used, then the candidate values of P are 1, 2, 3 or 6. For non-HST FR2, N=8; however for HST FR2, we suppose N=1 or N=2. Then the following Tables can be obtained:</w:t>
      </w:r>
    </w:p>
    <w:p>
      <w:pPr>
        <w:widowControl w:val="0"/>
        <w:numPr>
          <w:ilvl w:val="0"/>
          <w:numId w:val="0"/>
        </w:numPr>
        <w:jc w:val="center"/>
        <w:rPr>
          <w:rFonts w:hint="default"/>
          <w:lang w:val="en-US" w:eastAsia="zh-CN"/>
        </w:rPr>
      </w:pPr>
      <w:r>
        <w:rPr>
          <w:rFonts w:hint="eastAsia"/>
          <w:lang w:val="en-US" w:eastAsia="zh-CN"/>
        </w:rPr>
        <w:t>Table 1 L1-RSRP measurement delay and travelled distance analysis for N=1, P=1</w:t>
      </w:r>
    </w:p>
    <w:tbl>
      <w:tblPr>
        <w:tblStyle w:val="16"/>
        <w:tblW w:w="89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65"/>
        <w:gridCol w:w="715"/>
        <w:gridCol w:w="687"/>
        <w:gridCol w:w="688"/>
        <w:gridCol w:w="687"/>
        <w:gridCol w:w="687"/>
        <w:gridCol w:w="688"/>
        <w:gridCol w:w="687"/>
        <w:gridCol w:w="688"/>
        <w:gridCol w:w="687"/>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5"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color w:val="000000"/>
                <w:sz w:val="16"/>
                <w:szCs w:val="16"/>
                <w:vertAlign w:val="subscript"/>
                <w:lang w:val="en-US"/>
              </w:rPr>
            </w:pPr>
            <w:r>
              <w:rPr>
                <w:rFonts w:hint="eastAsia" w:asciiTheme="minorEastAsia" w:hAnsiTheme="minorEastAsia" w:eastAsiaTheme="minorEastAsia" w:cstheme="minorEastAsia"/>
                <w:b/>
                <w:bCs/>
                <w:color w:val="000000"/>
                <w:sz w:val="16"/>
                <w:szCs w:val="16"/>
              </w:rPr>
              <w:t>T</w:t>
            </w:r>
            <w:r>
              <w:rPr>
                <w:rFonts w:hint="eastAsia" w:asciiTheme="minorEastAsia" w:hAnsiTheme="minorEastAsia" w:eastAsiaTheme="minorEastAsia" w:cstheme="minorEastAsia"/>
                <w:b/>
                <w:bCs/>
                <w:color w:val="000000"/>
                <w:sz w:val="16"/>
                <w:szCs w:val="16"/>
                <w:vertAlign w:val="subscript"/>
              </w:rPr>
              <w:t xml:space="preserve">DRX </w:t>
            </w:r>
            <w:r>
              <w:rPr>
                <w:rFonts w:hint="eastAsia" w:asciiTheme="minorEastAsia" w:hAnsiTheme="minorEastAsia" w:eastAsiaTheme="minorEastAsia" w:cstheme="minorEastAsia"/>
                <w:b/>
                <w:bCs/>
                <w:color w:val="000000"/>
                <w:sz w:val="16"/>
                <w:szCs w:val="16"/>
              </w:rPr>
              <w:t>(ms)</w:t>
            </w:r>
          </w:p>
        </w:tc>
        <w:tc>
          <w:tcPr>
            <w:tcW w:w="715"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No DRX</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20</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40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80</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160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256</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320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512</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5"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b/>
                <w:bCs/>
                <w:color w:val="000000"/>
                <w:sz w:val="16"/>
                <w:szCs w:val="16"/>
              </w:rPr>
            </w:pPr>
            <w:r>
              <w:rPr>
                <w:rFonts w:hint="eastAsia" w:asciiTheme="minorEastAsia" w:hAnsiTheme="minorEastAsia" w:eastAsiaTheme="minorEastAsia" w:cstheme="minorEastAsia"/>
                <w:b/>
                <w:bCs/>
                <w:color w:val="000000"/>
                <w:sz w:val="16"/>
                <w:szCs w:val="16"/>
              </w:rPr>
              <w:t>T</w:t>
            </w:r>
            <w:r>
              <w:rPr>
                <w:rFonts w:hint="eastAsia" w:asciiTheme="minorEastAsia" w:hAnsiTheme="minorEastAsia" w:eastAsiaTheme="minorEastAsia" w:cstheme="minorEastAsia"/>
                <w:b/>
                <w:bCs/>
                <w:color w:val="000000"/>
                <w:sz w:val="16"/>
                <w:szCs w:val="16"/>
                <w:vertAlign w:val="subscript"/>
              </w:rPr>
              <w:t xml:space="preserve">L1-RSRP_Measurement_Period </w:t>
            </w:r>
            <w:r>
              <w:rPr>
                <w:rFonts w:hint="eastAsia" w:asciiTheme="minorEastAsia" w:hAnsiTheme="minorEastAsia" w:eastAsiaTheme="minorEastAsia" w:cstheme="minorEastAsia"/>
                <w:b/>
                <w:bCs/>
                <w:color w:val="000000"/>
                <w:sz w:val="16"/>
                <w:szCs w:val="16"/>
              </w:rPr>
              <w:t>(ms)</w:t>
            </w:r>
          </w:p>
        </w:tc>
        <w:tc>
          <w:tcPr>
            <w:tcW w:w="715"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60</w:t>
            </w:r>
          </w:p>
        </w:tc>
        <w:tc>
          <w:tcPr>
            <w:tcW w:w="687"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90</w:t>
            </w:r>
          </w:p>
        </w:tc>
        <w:tc>
          <w:tcPr>
            <w:tcW w:w="688"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180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270</w:t>
            </w:r>
          </w:p>
        </w:tc>
        <w:tc>
          <w:tcPr>
            <w:tcW w:w="687"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360</w:t>
            </w:r>
          </w:p>
        </w:tc>
        <w:tc>
          <w:tcPr>
            <w:tcW w:w="688"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720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1152</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1440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2304</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7"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b/>
                <w:bCs/>
                <w:color w:val="000000"/>
                <w:sz w:val="16"/>
                <w:szCs w:val="16"/>
                <w:lang w:val="ru-RU"/>
              </w:rPr>
            </w:pPr>
            <w:r>
              <w:rPr>
                <w:rFonts w:hint="eastAsia" w:asciiTheme="minorEastAsia" w:hAnsiTheme="minorEastAsia" w:eastAsiaTheme="minorEastAsia" w:cstheme="minorEastAsia"/>
                <w:b/>
                <w:bCs/>
                <w:color w:val="000000"/>
                <w:sz w:val="16"/>
                <w:szCs w:val="16"/>
              </w:rPr>
              <w:t>Distance travelled (m)</w:t>
            </w:r>
          </w:p>
        </w:tc>
        <w:tc>
          <w:tcPr>
            <w:tcW w:w="715"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w:t>
            </w:r>
          </w:p>
        </w:tc>
        <w:tc>
          <w:tcPr>
            <w:tcW w:w="687"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9</w:t>
            </w:r>
          </w:p>
        </w:tc>
        <w:tc>
          <w:tcPr>
            <w:tcW w:w="688"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18</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26</w:t>
            </w:r>
          </w:p>
        </w:tc>
        <w:tc>
          <w:tcPr>
            <w:tcW w:w="687"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35</w:t>
            </w:r>
          </w:p>
        </w:tc>
        <w:tc>
          <w:tcPr>
            <w:tcW w:w="688"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70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112</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140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224</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280</w:t>
            </w:r>
          </w:p>
        </w:tc>
      </w:tr>
    </w:tbl>
    <w:p>
      <w:pPr>
        <w:widowControl w:val="0"/>
        <w:numPr>
          <w:ilvl w:val="0"/>
          <w:numId w:val="0"/>
        </w:numPr>
        <w:jc w:val="both"/>
        <w:rPr>
          <w:rFonts w:hint="eastAsia"/>
          <w:lang w:val="en-US" w:eastAsia="zh-CN"/>
        </w:rPr>
      </w:pPr>
    </w:p>
    <w:p>
      <w:pPr>
        <w:widowControl w:val="0"/>
        <w:numPr>
          <w:ilvl w:val="0"/>
          <w:numId w:val="0"/>
        </w:numPr>
        <w:jc w:val="center"/>
        <w:rPr>
          <w:rFonts w:hint="default"/>
          <w:lang w:val="en-US" w:eastAsia="zh-CN"/>
        </w:rPr>
      </w:pPr>
      <w:r>
        <w:rPr>
          <w:rFonts w:hint="eastAsia"/>
          <w:lang w:val="en-US" w:eastAsia="zh-CN"/>
        </w:rPr>
        <w:t>Table 2 L1-RSRP measurement delay and travelled distance analysis for N=1, P=2</w:t>
      </w:r>
    </w:p>
    <w:tbl>
      <w:tblPr>
        <w:tblStyle w:val="16"/>
        <w:tblW w:w="89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65"/>
        <w:gridCol w:w="715"/>
        <w:gridCol w:w="687"/>
        <w:gridCol w:w="688"/>
        <w:gridCol w:w="687"/>
        <w:gridCol w:w="687"/>
        <w:gridCol w:w="688"/>
        <w:gridCol w:w="687"/>
        <w:gridCol w:w="688"/>
        <w:gridCol w:w="687"/>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5"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color w:val="000000"/>
                <w:sz w:val="16"/>
                <w:szCs w:val="16"/>
                <w:vertAlign w:val="subscript"/>
                <w:lang w:val="en-US"/>
              </w:rPr>
            </w:pPr>
            <w:r>
              <w:rPr>
                <w:rFonts w:hint="eastAsia" w:asciiTheme="minorEastAsia" w:hAnsiTheme="minorEastAsia" w:eastAsiaTheme="minorEastAsia" w:cstheme="minorEastAsia"/>
                <w:b/>
                <w:bCs/>
                <w:color w:val="000000"/>
                <w:sz w:val="16"/>
                <w:szCs w:val="16"/>
              </w:rPr>
              <w:t>T</w:t>
            </w:r>
            <w:r>
              <w:rPr>
                <w:rFonts w:hint="eastAsia" w:asciiTheme="minorEastAsia" w:hAnsiTheme="minorEastAsia" w:eastAsiaTheme="minorEastAsia" w:cstheme="minorEastAsia"/>
                <w:b/>
                <w:bCs/>
                <w:color w:val="000000"/>
                <w:sz w:val="16"/>
                <w:szCs w:val="16"/>
                <w:vertAlign w:val="subscript"/>
              </w:rPr>
              <w:t xml:space="preserve">DRX </w:t>
            </w:r>
            <w:r>
              <w:rPr>
                <w:rFonts w:hint="eastAsia" w:asciiTheme="minorEastAsia" w:hAnsiTheme="minorEastAsia" w:eastAsiaTheme="minorEastAsia" w:cstheme="minorEastAsia"/>
                <w:b/>
                <w:bCs/>
                <w:color w:val="000000"/>
                <w:sz w:val="16"/>
                <w:szCs w:val="16"/>
              </w:rPr>
              <w:t>(ms)</w:t>
            </w:r>
          </w:p>
        </w:tc>
        <w:tc>
          <w:tcPr>
            <w:tcW w:w="715"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No DRX</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20</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40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80</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160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256</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320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512</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5"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b/>
                <w:bCs/>
                <w:color w:val="000000"/>
                <w:sz w:val="16"/>
                <w:szCs w:val="16"/>
              </w:rPr>
            </w:pPr>
            <w:r>
              <w:rPr>
                <w:rFonts w:hint="eastAsia" w:asciiTheme="minorEastAsia" w:hAnsiTheme="minorEastAsia" w:eastAsiaTheme="minorEastAsia" w:cstheme="minorEastAsia"/>
                <w:b/>
                <w:bCs/>
                <w:color w:val="000000"/>
                <w:sz w:val="16"/>
                <w:szCs w:val="16"/>
              </w:rPr>
              <w:t>T</w:t>
            </w:r>
            <w:r>
              <w:rPr>
                <w:rFonts w:hint="eastAsia" w:asciiTheme="minorEastAsia" w:hAnsiTheme="minorEastAsia" w:eastAsiaTheme="minorEastAsia" w:cstheme="minorEastAsia"/>
                <w:b/>
                <w:bCs/>
                <w:color w:val="000000"/>
                <w:sz w:val="16"/>
                <w:szCs w:val="16"/>
                <w:vertAlign w:val="subscript"/>
              </w:rPr>
              <w:t xml:space="preserve">L1-RSRP_Measurement_Period </w:t>
            </w:r>
            <w:r>
              <w:rPr>
                <w:rFonts w:hint="eastAsia" w:asciiTheme="minorEastAsia" w:hAnsiTheme="minorEastAsia" w:eastAsiaTheme="minorEastAsia" w:cstheme="minorEastAsia"/>
                <w:b/>
                <w:bCs/>
                <w:color w:val="000000"/>
                <w:sz w:val="16"/>
                <w:szCs w:val="16"/>
              </w:rPr>
              <w:t>(ms)</w:t>
            </w:r>
          </w:p>
        </w:tc>
        <w:tc>
          <w:tcPr>
            <w:tcW w:w="715"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120</w:t>
            </w:r>
          </w:p>
        </w:tc>
        <w:tc>
          <w:tcPr>
            <w:tcW w:w="687"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18</w:t>
            </w:r>
            <w:r>
              <w:rPr>
                <w:rFonts w:hint="eastAsia" w:asciiTheme="minorEastAsia" w:hAnsiTheme="minorEastAsia" w:eastAsiaTheme="minorEastAsia" w:cstheme="minorEastAsia"/>
                <w:color w:val="000000"/>
                <w:sz w:val="18"/>
                <w:szCs w:val="18"/>
                <w:lang w:val="en-US"/>
              </w:rPr>
              <w:t>0</w:t>
            </w:r>
          </w:p>
        </w:tc>
        <w:tc>
          <w:tcPr>
            <w:tcW w:w="688"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36</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54</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72</w:t>
            </w:r>
            <w:r>
              <w:rPr>
                <w:rFonts w:hint="eastAsia" w:asciiTheme="minorEastAsia" w:hAnsiTheme="minorEastAsia" w:eastAsiaTheme="minorEastAsia" w:cstheme="minorEastAsia"/>
                <w:color w:val="000000"/>
                <w:sz w:val="18"/>
                <w:szCs w:val="18"/>
                <w:lang w:val="en-US"/>
              </w:rPr>
              <w:t>0</w:t>
            </w:r>
          </w:p>
        </w:tc>
        <w:tc>
          <w:tcPr>
            <w:tcW w:w="688"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144</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2304</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2880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4608</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576</w:t>
            </w:r>
            <w:r>
              <w:rPr>
                <w:rFonts w:hint="eastAsia" w:asciiTheme="minorEastAsia" w:hAnsiTheme="minorEastAsia" w:eastAsiaTheme="minorEastAsia" w:cstheme="minorEastAsia"/>
                <w:color w:val="000000"/>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7"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b/>
                <w:bCs/>
                <w:color w:val="000000"/>
                <w:sz w:val="16"/>
                <w:szCs w:val="16"/>
                <w:lang w:val="ru-RU"/>
              </w:rPr>
            </w:pPr>
            <w:r>
              <w:rPr>
                <w:rFonts w:hint="eastAsia" w:asciiTheme="minorEastAsia" w:hAnsiTheme="minorEastAsia" w:eastAsiaTheme="minorEastAsia" w:cstheme="minorEastAsia"/>
                <w:b/>
                <w:bCs/>
                <w:color w:val="000000"/>
                <w:sz w:val="16"/>
                <w:szCs w:val="16"/>
              </w:rPr>
              <w:t>Distance travelled (m)</w:t>
            </w:r>
          </w:p>
        </w:tc>
        <w:tc>
          <w:tcPr>
            <w:tcW w:w="715"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12</w:t>
            </w:r>
          </w:p>
        </w:tc>
        <w:tc>
          <w:tcPr>
            <w:tcW w:w="687"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18</w:t>
            </w:r>
          </w:p>
        </w:tc>
        <w:tc>
          <w:tcPr>
            <w:tcW w:w="688"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36</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52</w:t>
            </w:r>
          </w:p>
        </w:tc>
        <w:tc>
          <w:tcPr>
            <w:tcW w:w="687"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70</w:t>
            </w:r>
          </w:p>
        </w:tc>
        <w:tc>
          <w:tcPr>
            <w:tcW w:w="688"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14</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224</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28</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448</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56</w:t>
            </w:r>
            <w:r>
              <w:rPr>
                <w:rFonts w:hint="eastAsia" w:asciiTheme="minorEastAsia" w:hAnsiTheme="minorEastAsia" w:eastAsiaTheme="minorEastAsia" w:cstheme="minorEastAsia"/>
                <w:color w:val="000000"/>
                <w:sz w:val="18"/>
                <w:szCs w:val="18"/>
                <w:lang w:val="en-US"/>
              </w:rPr>
              <w:t>0</w:t>
            </w:r>
          </w:p>
        </w:tc>
      </w:tr>
    </w:tbl>
    <w:p>
      <w:pPr>
        <w:widowControl w:val="0"/>
        <w:numPr>
          <w:ilvl w:val="0"/>
          <w:numId w:val="0"/>
        </w:numPr>
        <w:jc w:val="both"/>
        <w:rPr>
          <w:rFonts w:hint="eastAsia"/>
          <w:lang w:val="en-US" w:eastAsia="zh-CN"/>
        </w:rPr>
      </w:pPr>
    </w:p>
    <w:p>
      <w:pPr>
        <w:widowControl w:val="0"/>
        <w:numPr>
          <w:ilvl w:val="0"/>
          <w:numId w:val="0"/>
        </w:numPr>
        <w:jc w:val="center"/>
        <w:rPr>
          <w:rFonts w:hint="default"/>
          <w:lang w:val="en-US" w:eastAsia="zh-CN"/>
        </w:rPr>
      </w:pPr>
      <w:r>
        <w:rPr>
          <w:rFonts w:hint="eastAsia"/>
          <w:lang w:val="en-US" w:eastAsia="zh-CN"/>
        </w:rPr>
        <w:t>Table 3 L1-RSRP measurement delay and travelled distance analysis for N=1, P=3</w:t>
      </w:r>
    </w:p>
    <w:tbl>
      <w:tblPr>
        <w:tblStyle w:val="16"/>
        <w:tblW w:w="89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65"/>
        <w:gridCol w:w="715"/>
        <w:gridCol w:w="687"/>
        <w:gridCol w:w="688"/>
        <w:gridCol w:w="687"/>
        <w:gridCol w:w="687"/>
        <w:gridCol w:w="688"/>
        <w:gridCol w:w="687"/>
        <w:gridCol w:w="688"/>
        <w:gridCol w:w="687"/>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5"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color w:val="000000"/>
                <w:sz w:val="16"/>
                <w:szCs w:val="16"/>
                <w:vertAlign w:val="subscript"/>
                <w:lang w:val="en-US"/>
              </w:rPr>
            </w:pPr>
            <w:r>
              <w:rPr>
                <w:rFonts w:hint="eastAsia" w:asciiTheme="minorEastAsia" w:hAnsiTheme="minorEastAsia" w:eastAsiaTheme="minorEastAsia" w:cstheme="minorEastAsia"/>
                <w:b/>
                <w:bCs/>
                <w:color w:val="000000"/>
                <w:sz w:val="16"/>
                <w:szCs w:val="16"/>
              </w:rPr>
              <w:t>T</w:t>
            </w:r>
            <w:r>
              <w:rPr>
                <w:rFonts w:hint="eastAsia" w:asciiTheme="minorEastAsia" w:hAnsiTheme="minorEastAsia" w:eastAsiaTheme="minorEastAsia" w:cstheme="minorEastAsia"/>
                <w:b/>
                <w:bCs/>
                <w:color w:val="000000"/>
                <w:sz w:val="16"/>
                <w:szCs w:val="16"/>
                <w:vertAlign w:val="subscript"/>
              </w:rPr>
              <w:t xml:space="preserve">DRX </w:t>
            </w:r>
            <w:r>
              <w:rPr>
                <w:rFonts w:hint="eastAsia" w:asciiTheme="minorEastAsia" w:hAnsiTheme="minorEastAsia" w:eastAsiaTheme="minorEastAsia" w:cstheme="minorEastAsia"/>
                <w:b/>
                <w:bCs/>
                <w:color w:val="000000"/>
                <w:sz w:val="16"/>
                <w:szCs w:val="16"/>
              </w:rPr>
              <w:t>(ms)</w:t>
            </w:r>
          </w:p>
        </w:tc>
        <w:tc>
          <w:tcPr>
            <w:tcW w:w="715"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No DRX</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20</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40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80</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160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256</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320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512</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5"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b/>
                <w:bCs/>
                <w:color w:val="000000"/>
                <w:sz w:val="16"/>
                <w:szCs w:val="16"/>
              </w:rPr>
            </w:pPr>
            <w:r>
              <w:rPr>
                <w:rFonts w:hint="eastAsia" w:asciiTheme="minorEastAsia" w:hAnsiTheme="minorEastAsia" w:eastAsiaTheme="minorEastAsia" w:cstheme="minorEastAsia"/>
                <w:b/>
                <w:bCs/>
                <w:color w:val="000000"/>
                <w:sz w:val="16"/>
                <w:szCs w:val="16"/>
              </w:rPr>
              <w:t>T</w:t>
            </w:r>
            <w:r>
              <w:rPr>
                <w:rFonts w:hint="eastAsia" w:asciiTheme="minorEastAsia" w:hAnsiTheme="minorEastAsia" w:eastAsiaTheme="minorEastAsia" w:cstheme="minorEastAsia"/>
                <w:b/>
                <w:bCs/>
                <w:color w:val="000000"/>
                <w:sz w:val="16"/>
                <w:szCs w:val="16"/>
                <w:vertAlign w:val="subscript"/>
              </w:rPr>
              <w:t xml:space="preserve">L1-RSRP_Measurement_Period </w:t>
            </w:r>
            <w:r>
              <w:rPr>
                <w:rFonts w:hint="eastAsia" w:asciiTheme="minorEastAsia" w:hAnsiTheme="minorEastAsia" w:eastAsiaTheme="minorEastAsia" w:cstheme="minorEastAsia"/>
                <w:b/>
                <w:bCs/>
                <w:color w:val="000000"/>
                <w:sz w:val="16"/>
                <w:szCs w:val="16"/>
              </w:rPr>
              <w:t>(ms)</w:t>
            </w:r>
          </w:p>
        </w:tc>
        <w:tc>
          <w:tcPr>
            <w:tcW w:w="715"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18</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27</w:t>
            </w:r>
            <w:r>
              <w:rPr>
                <w:rFonts w:hint="eastAsia" w:asciiTheme="minorEastAsia" w:hAnsiTheme="minorEastAsia" w:eastAsiaTheme="minorEastAsia" w:cstheme="minorEastAsia"/>
                <w:color w:val="000000"/>
                <w:sz w:val="18"/>
                <w:szCs w:val="18"/>
                <w:lang w:val="en-US"/>
              </w:rPr>
              <w:t>0</w:t>
            </w:r>
          </w:p>
        </w:tc>
        <w:tc>
          <w:tcPr>
            <w:tcW w:w="688"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54</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81</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108</w:t>
            </w:r>
            <w:r>
              <w:rPr>
                <w:rFonts w:hint="eastAsia" w:asciiTheme="minorEastAsia" w:hAnsiTheme="minorEastAsia" w:eastAsiaTheme="minorEastAsia" w:cstheme="minorEastAsia"/>
                <w:color w:val="000000"/>
                <w:sz w:val="18"/>
                <w:szCs w:val="18"/>
                <w:lang w:val="en-US"/>
              </w:rPr>
              <w:t>0</w:t>
            </w:r>
          </w:p>
        </w:tc>
        <w:tc>
          <w:tcPr>
            <w:tcW w:w="688"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216</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3456</w:t>
            </w:r>
          </w:p>
        </w:tc>
        <w:tc>
          <w:tcPr>
            <w:tcW w:w="688"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4320</w:t>
            </w:r>
          </w:p>
        </w:tc>
        <w:tc>
          <w:tcPr>
            <w:tcW w:w="687"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6912</w:t>
            </w:r>
          </w:p>
        </w:tc>
        <w:tc>
          <w:tcPr>
            <w:tcW w:w="688"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8640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7"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b/>
                <w:bCs/>
                <w:color w:val="000000"/>
                <w:sz w:val="16"/>
                <w:szCs w:val="16"/>
                <w:lang w:val="ru-RU"/>
              </w:rPr>
            </w:pPr>
            <w:r>
              <w:rPr>
                <w:rFonts w:hint="eastAsia" w:asciiTheme="minorEastAsia" w:hAnsiTheme="minorEastAsia" w:eastAsiaTheme="minorEastAsia" w:cstheme="minorEastAsia"/>
                <w:b/>
                <w:bCs/>
                <w:color w:val="000000"/>
                <w:sz w:val="16"/>
                <w:szCs w:val="16"/>
              </w:rPr>
              <w:t>Distance travelled (m)</w:t>
            </w:r>
          </w:p>
        </w:tc>
        <w:tc>
          <w:tcPr>
            <w:tcW w:w="715" w:type="dxa"/>
            <w:shd w:val="clear" w:color="auto" w:fill="auto"/>
            <w:noWrap/>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18</w:t>
            </w:r>
          </w:p>
        </w:tc>
        <w:tc>
          <w:tcPr>
            <w:tcW w:w="687" w:type="dxa"/>
            <w:shd w:val="clear" w:color="auto" w:fill="auto"/>
            <w:noWrap/>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27</w:t>
            </w:r>
          </w:p>
        </w:tc>
        <w:tc>
          <w:tcPr>
            <w:tcW w:w="688" w:type="dxa"/>
            <w:shd w:val="clear" w:color="auto" w:fill="auto"/>
            <w:noWrap/>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54</w:t>
            </w:r>
          </w:p>
        </w:tc>
        <w:tc>
          <w:tcPr>
            <w:tcW w:w="687"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78</w:t>
            </w:r>
          </w:p>
        </w:tc>
        <w:tc>
          <w:tcPr>
            <w:tcW w:w="687" w:type="dxa"/>
            <w:shd w:val="clear" w:color="auto" w:fill="auto"/>
            <w:noWrap/>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105</w:t>
            </w:r>
          </w:p>
        </w:tc>
        <w:tc>
          <w:tcPr>
            <w:tcW w:w="688" w:type="dxa"/>
            <w:shd w:val="clear" w:color="auto" w:fill="auto"/>
            <w:noWrap/>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210</w:t>
            </w:r>
          </w:p>
        </w:tc>
        <w:tc>
          <w:tcPr>
            <w:tcW w:w="687"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336</w:t>
            </w:r>
          </w:p>
        </w:tc>
        <w:tc>
          <w:tcPr>
            <w:tcW w:w="688"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420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672</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84</w:t>
            </w:r>
            <w:r>
              <w:rPr>
                <w:rFonts w:hint="eastAsia" w:asciiTheme="minorEastAsia" w:hAnsiTheme="minorEastAsia" w:eastAsiaTheme="minorEastAsia" w:cstheme="minorEastAsia"/>
                <w:color w:val="000000"/>
                <w:sz w:val="18"/>
                <w:szCs w:val="18"/>
                <w:lang w:val="en-US"/>
              </w:rPr>
              <w:t>0</w:t>
            </w:r>
          </w:p>
        </w:tc>
      </w:tr>
    </w:tbl>
    <w:p>
      <w:pPr>
        <w:widowControl w:val="0"/>
        <w:numPr>
          <w:ilvl w:val="0"/>
          <w:numId w:val="0"/>
        </w:numPr>
        <w:jc w:val="both"/>
        <w:rPr>
          <w:rFonts w:hint="eastAsia"/>
          <w:lang w:val="en-US" w:eastAsia="zh-CN"/>
        </w:rPr>
      </w:pPr>
    </w:p>
    <w:p>
      <w:pPr>
        <w:widowControl w:val="0"/>
        <w:numPr>
          <w:ilvl w:val="0"/>
          <w:numId w:val="0"/>
        </w:numPr>
        <w:jc w:val="center"/>
        <w:rPr>
          <w:rFonts w:hint="default"/>
          <w:lang w:val="en-US" w:eastAsia="zh-CN"/>
        </w:rPr>
      </w:pPr>
      <w:r>
        <w:rPr>
          <w:rFonts w:hint="eastAsia"/>
          <w:lang w:val="en-US" w:eastAsia="zh-CN"/>
        </w:rPr>
        <w:t>Table 4 L1-RSRP measurement delay and travelled distance analysis for N=1, P=6</w:t>
      </w:r>
    </w:p>
    <w:tbl>
      <w:tblPr>
        <w:tblStyle w:val="16"/>
        <w:tblW w:w="89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65"/>
        <w:gridCol w:w="715"/>
        <w:gridCol w:w="687"/>
        <w:gridCol w:w="688"/>
        <w:gridCol w:w="687"/>
        <w:gridCol w:w="687"/>
        <w:gridCol w:w="688"/>
        <w:gridCol w:w="687"/>
        <w:gridCol w:w="688"/>
        <w:gridCol w:w="687"/>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5"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color w:val="000000"/>
                <w:sz w:val="16"/>
                <w:szCs w:val="16"/>
                <w:vertAlign w:val="subscript"/>
                <w:lang w:val="en-US"/>
              </w:rPr>
            </w:pPr>
            <w:r>
              <w:rPr>
                <w:rFonts w:hint="eastAsia" w:asciiTheme="minorEastAsia" w:hAnsiTheme="minorEastAsia" w:eastAsiaTheme="minorEastAsia" w:cstheme="minorEastAsia"/>
                <w:b/>
                <w:bCs/>
                <w:color w:val="000000"/>
                <w:sz w:val="16"/>
                <w:szCs w:val="16"/>
              </w:rPr>
              <w:t>T</w:t>
            </w:r>
            <w:r>
              <w:rPr>
                <w:rFonts w:hint="eastAsia" w:asciiTheme="minorEastAsia" w:hAnsiTheme="minorEastAsia" w:eastAsiaTheme="minorEastAsia" w:cstheme="minorEastAsia"/>
                <w:b/>
                <w:bCs/>
                <w:color w:val="000000"/>
                <w:sz w:val="16"/>
                <w:szCs w:val="16"/>
                <w:vertAlign w:val="subscript"/>
              </w:rPr>
              <w:t xml:space="preserve">DRX </w:t>
            </w:r>
            <w:r>
              <w:rPr>
                <w:rFonts w:hint="eastAsia" w:asciiTheme="minorEastAsia" w:hAnsiTheme="minorEastAsia" w:eastAsiaTheme="minorEastAsia" w:cstheme="minorEastAsia"/>
                <w:b/>
                <w:bCs/>
                <w:color w:val="000000"/>
                <w:sz w:val="16"/>
                <w:szCs w:val="16"/>
              </w:rPr>
              <w:t>(ms)</w:t>
            </w:r>
          </w:p>
        </w:tc>
        <w:tc>
          <w:tcPr>
            <w:tcW w:w="715"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No DRX</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20</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40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80</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160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256</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320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512</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5"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b/>
                <w:bCs/>
                <w:color w:val="000000"/>
                <w:sz w:val="16"/>
                <w:szCs w:val="16"/>
              </w:rPr>
            </w:pPr>
            <w:r>
              <w:rPr>
                <w:rFonts w:hint="eastAsia" w:asciiTheme="minorEastAsia" w:hAnsiTheme="minorEastAsia" w:eastAsiaTheme="minorEastAsia" w:cstheme="minorEastAsia"/>
                <w:b/>
                <w:bCs/>
                <w:color w:val="000000"/>
                <w:sz w:val="16"/>
                <w:szCs w:val="16"/>
              </w:rPr>
              <w:t>T</w:t>
            </w:r>
            <w:r>
              <w:rPr>
                <w:rFonts w:hint="eastAsia" w:asciiTheme="minorEastAsia" w:hAnsiTheme="minorEastAsia" w:eastAsiaTheme="minorEastAsia" w:cstheme="minorEastAsia"/>
                <w:b/>
                <w:bCs/>
                <w:color w:val="000000"/>
                <w:sz w:val="16"/>
                <w:szCs w:val="16"/>
                <w:vertAlign w:val="subscript"/>
              </w:rPr>
              <w:t xml:space="preserve">L1-RSRP_Measurement_Period </w:t>
            </w:r>
            <w:r>
              <w:rPr>
                <w:rFonts w:hint="eastAsia" w:asciiTheme="minorEastAsia" w:hAnsiTheme="minorEastAsia" w:eastAsiaTheme="minorEastAsia" w:cstheme="minorEastAsia"/>
                <w:b/>
                <w:bCs/>
                <w:color w:val="000000"/>
                <w:sz w:val="16"/>
                <w:szCs w:val="16"/>
              </w:rPr>
              <w:t>(ms)</w:t>
            </w:r>
          </w:p>
        </w:tc>
        <w:tc>
          <w:tcPr>
            <w:tcW w:w="715" w:type="dxa"/>
            <w:shd w:val="clear" w:color="auto" w:fill="auto"/>
            <w:noWrap/>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360</w:t>
            </w:r>
          </w:p>
        </w:tc>
        <w:tc>
          <w:tcPr>
            <w:tcW w:w="687" w:type="dxa"/>
            <w:shd w:val="clear" w:color="auto" w:fill="auto"/>
            <w:noWrap/>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540</w:t>
            </w:r>
          </w:p>
        </w:tc>
        <w:tc>
          <w:tcPr>
            <w:tcW w:w="688" w:type="dxa"/>
            <w:shd w:val="clear" w:color="auto" w:fill="auto"/>
            <w:noWrap/>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1080</w:t>
            </w:r>
          </w:p>
        </w:tc>
        <w:tc>
          <w:tcPr>
            <w:tcW w:w="687"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1620</w:t>
            </w:r>
          </w:p>
        </w:tc>
        <w:tc>
          <w:tcPr>
            <w:tcW w:w="687" w:type="dxa"/>
            <w:shd w:val="clear" w:color="auto" w:fill="auto"/>
            <w:noWrap/>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2160</w:t>
            </w:r>
          </w:p>
        </w:tc>
        <w:tc>
          <w:tcPr>
            <w:tcW w:w="688" w:type="dxa"/>
            <w:shd w:val="clear" w:color="auto" w:fill="auto"/>
            <w:noWrap/>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4320</w:t>
            </w:r>
          </w:p>
        </w:tc>
        <w:tc>
          <w:tcPr>
            <w:tcW w:w="687"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6912</w:t>
            </w:r>
          </w:p>
        </w:tc>
        <w:tc>
          <w:tcPr>
            <w:tcW w:w="688"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8640</w:t>
            </w:r>
          </w:p>
        </w:tc>
        <w:tc>
          <w:tcPr>
            <w:tcW w:w="687"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13824</w:t>
            </w:r>
          </w:p>
        </w:tc>
        <w:tc>
          <w:tcPr>
            <w:tcW w:w="688"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17280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7"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b/>
                <w:bCs/>
                <w:color w:val="000000"/>
                <w:sz w:val="16"/>
                <w:szCs w:val="16"/>
                <w:lang w:val="ru-RU"/>
              </w:rPr>
            </w:pPr>
            <w:r>
              <w:rPr>
                <w:rFonts w:hint="eastAsia" w:asciiTheme="minorEastAsia" w:hAnsiTheme="minorEastAsia" w:eastAsiaTheme="minorEastAsia" w:cstheme="minorEastAsia"/>
                <w:b/>
                <w:bCs/>
                <w:color w:val="000000"/>
                <w:sz w:val="16"/>
                <w:szCs w:val="16"/>
              </w:rPr>
              <w:t>Distance travelled (m)</w:t>
            </w:r>
          </w:p>
        </w:tc>
        <w:tc>
          <w:tcPr>
            <w:tcW w:w="715" w:type="dxa"/>
            <w:shd w:val="clear" w:color="auto" w:fill="auto"/>
            <w:noWrap/>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36</w:t>
            </w:r>
          </w:p>
        </w:tc>
        <w:tc>
          <w:tcPr>
            <w:tcW w:w="687" w:type="dxa"/>
            <w:shd w:val="clear" w:color="auto" w:fill="auto"/>
            <w:noWrap/>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54</w:t>
            </w:r>
          </w:p>
        </w:tc>
        <w:tc>
          <w:tcPr>
            <w:tcW w:w="688" w:type="dxa"/>
            <w:shd w:val="clear" w:color="auto" w:fill="auto"/>
            <w:noWrap/>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108</w:t>
            </w:r>
          </w:p>
        </w:tc>
        <w:tc>
          <w:tcPr>
            <w:tcW w:w="687"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156</w:t>
            </w:r>
          </w:p>
        </w:tc>
        <w:tc>
          <w:tcPr>
            <w:tcW w:w="687" w:type="dxa"/>
            <w:shd w:val="clear" w:color="auto" w:fill="auto"/>
            <w:noWrap/>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210</w:t>
            </w:r>
          </w:p>
        </w:tc>
        <w:tc>
          <w:tcPr>
            <w:tcW w:w="688" w:type="dxa"/>
            <w:shd w:val="clear" w:color="auto" w:fill="auto"/>
            <w:noWrap/>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420</w:t>
            </w:r>
          </w:p>
        </w:tc>
        <w:tc>
          <w:tcPr>
            <w:tcW w:w="687"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672</w:t>
            </w:r>
          </w:p>
        </w:tc>
        <w:tc>
          <w:tcPr>
            <w:tcW w:w="688"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840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1344</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1680</w:t>
            </w:r>
          </w:p>
        </w:tc>
      </w:tr>
    </w:tbl>
    <w:p>
      <w:pPr>
        <w:widowControl w:val="0"/>
        <w:numPr>
          <w:ilvl w:val="0"/>
          <w:numId w:val="0"/>
        </w:numPr>
        <w:jc w:val="both"/>
        <w:rPr>
          <w:rFonts w:hint="eastAsia"/>
          <w:lang w:val="en-US" w:eastAsia="zh-CN"/>
        </w:rPr>
      </w:pPr>
    </w:p>
    <w:p>
      <w:pPr>
        <w:widowControl w:val="0"/>
        <w:numPr>
          <w:ilvl w:val="0"/>
          <w:numId w:val="0"/>
        </w:numPr>
        <w:jc w:val="center"/>
        <w:rPr>
          <w:rFonts w:hint="default"/>
          <w:lang w:val="en-US" w:eastAsia="zh-CN"/>
        </w:rPr>
      </w:pPr>
      <w:r>
        <w:rPr>
          <w:rFonts w:hint="eastAsia"/>
          <w:lang w:val="en-US" w:eastAsia="zh-CN"/>
        </w:rPr>
        <w:t>Table 5 L1-RSRP measurement delay and travelled distance analysis for N=2, P=1</w:t>
      </w:r>
    </w:p>
    <w:tbl>
      <w:tblPr>
        <w:tblStyle w:val="16"/>
        <w:tblW w:w="89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65"/>
        <w:gridCol w:w="715"/>
        <w:gridCol w:w="687"/>
        <w:gridCol w:w="688"/>
        <w:gridCol w:w="687"/>
        <w:gridCol w:w="687"/>
        <w:gridCol w:w="688"/>
        <w:gridCol w:w="687"/>
        <w:gridCol w:w="688"/>
        <w:gridCol w:w="687"/>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5"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color w:val="000000"/>
                <w:sz w:val="16"/>
                <w:szCs w:val="16"/>
                <w:vertAlign w:val="subscript"/>
                <w:lang w:val="en-US"/>
              </w:rPr>
            </w:pPr>
            <w:r>
              <w:rPr>
                <w:rFonts w:hint="eastAsia" w:asciiTheme="minorEastAsia" w:hAnsiTheme="minorEastAsia" w:eastAsiaTheme="minorEastAsia" w:cstheme="minorEastAsia"/>
                <w:b/>
                <w:bCs/>
                <w:color w:val="000000"/>
                <w:sz w:val="16"/>
                <w:szCs w:val="16"/>
              </w:rPr>
              <w:t>T</w:t>
            </w:r>
            <w:r>
              <w:rPr>
                <w:rFonts w:hint="eastAsia" w:asciiTheme="minorEastAsia" w:hAnsiTheme="minorEastAsia" w:eastAsiaTheme="minorEastAsia" w:cstheme="minorEastAsia"/>
                <w:b/>
                <w:bCs/>
                <w:color w:val="000000"/>
                <w:sz w:val="16"/>
                <w:szCs w:val="16"/>
                <w:vertAlign w:val="subscript"/>
              </w:rPr>
              <w:t xml:space="preserve">DRX </w:t>
            </w:r>
            <w:r>
              <w:rPr>
                <w:rFonts w:hint="eastAsia" w:asciiTheme="minorEastAsia" w:hAnsiTheme="minorEastAsia" w:eastAsiaTheme="minorEastAsia" w:cstheme="minorEastAsia"/>
                <w:b/>
                <w:bCs/>
                <w:color w:val="000000"/>
                <w:sz w:val="16"/>
                <w:szCs w:val="16"/>
              </w:rPr>
              <w:t>(ms)</w:t>
            </w:r>
          </w:p>
        </w:tc>
        <w:tc>
          <w:tcPr>
            <w:tcW w:w="715"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No DRX</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20</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40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80</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160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256</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320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512</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5"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b/>
                <w:bCs/>
                <w:color w:val="000000"/>
                <w:sz w:val="16"/>
                <w:szCs w:val="16"/>
              </w:rPr>
            </w:pPr>
            <w:bookmarkStart w:id="5" w:name="OLE_LINK4" w:colFirst="10" w:colLast="10"/>
            <w:r>
              <w:rPr>
                <w:rFonts w:hint="eastAsia" w:asciiTheme="minorEastAsia" w:hAnsiTheme="minorEastAsia" w:eastAsiaTheme="minorEastAsia" w:cstheme="minorEastAsia"/>
                <w:b/>
                <w:bCs/>
                <w:color w:val="000000"/>
                <w:sz w:val="16"/>
                <w:szCs w:val="16"/>
              </w:rPr>
              <w:t>T</w:t>
            </w:r>
            <w:r>
              <w:rPr>
                <w:rFonts w:hint="eastAsia" w:asciiTheme="minorEastAsia" w:hAnsiTheme="minorEastAsia" w:eastAsiaTheme="minorEastAsia" w:cstheme="minorEastAsia"/>
                <w:b/>
                <w:bCs/>
                <w:color w:val="000000"/>
                <w:sz w:val="16"/>
                <w:szCs w:val="16"/>
                <w:vertAlign w:val="subscript"/>
              </w:rPr>
              <w:t xml:space="preserve">L1-RSRP_Measurement_Period </w:t>
            </w:r>
            <w:r>
              <w:rPr>
                <w:rFonts w:hint="eastAsia" w:asciiTheme="minorEastAsia" w:hAnsiTheme="minorEastAsia" w:eastAsiaTheme="minorEastAsia" w:cstheme="minorEastAsia"/>
                <w:b/>
                <w:bCs/>
                <w:color w:val="000000"/>
                <w:sz w:val="16"/>
                <w:szCs w:val="16"/>
              </w:rPr>
              <w:t>(ms)</w:t>
            </w:r>
          </w:p>
        </w:tc>
        <w:tc>
          <w:tcPr>
            <w:tcW w:w="715"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120</w:t>
            </w:r>
          </w:p>
        </w:tc>
        <w:tc>
          <w:tcPr>
            <w:tcW w:w="687"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18</w:t>
            </w:r>
            <w:r>
              <w:rPr>
                <w:rFonts w:hint="eastAsia" w:asciiTheme="minorEastAsia" w:hAnsiTheme="minorEastAsia" w:eastAsiaTheme="minorEastAsia" w:cstheme="minorEastAsia"/>
                <w:color w:val="000000"/>
                <w:sz w:val="18"/>
                <w:szCs w:val="18"/>
                <w:lang w:val="en-US"/>
              </w:rPr>
              <w:t>0</w:t>
            </w:r>
          </w:p>
        </w:tc>
        <w:tc>
          <w:tcPr>
            <w:tcW w:w="688"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36</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54</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72</w:t>
            </w:r>
            <w:r>
              <w:rPr>
                <w:rFonts w:hint="eastAsia" w:asciiTheme="minorEastAsia" w:hAnsiTheme="minorEastAsia" w:eastAsiaTheme="minorEastAsia" w:cstheme="minorEastAsia"/>
                <w:color w:val="000000"/>
                <w:sz w:val="18"/>
                <w:szCs w:val="18"/>
                <w:lang w:val="en-US"/>
              </w:rPr>
              <w:t>0</w:t>
            </w:r>
          </w:p>
        </w:tc>
        <w:tc>
          <w:tcPr>
            <w:tcW w:w="688"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144</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2304</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2880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4608</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576</w:t>
            </w:r>
            <w:r>
              <w:rPr>
                <w:rFonts w:hint="eastAsia" w:asciiTheme="minorEastAsia" w:hAnsiTheme="minorEastAsia" w:eastAsiaTheme="minorEastAsia" w:cstheme="minorEastAsia"/>
                <w:color w:val="000000"/>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7"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b/>
                <w:bCs/>
                <w:color w:val="000000"/>
                <w:sz w:val="16"/>
                <w:szCs w:val="16"/>
                <w:lang w:val="ru-RU"/>
              </w:rPr>
            </w:pPr>
            <w:r>
              <w:rPr>
                <w:rFonts w:hint="eastAsia" w:asciiTheme="minorEastAsia" w:hAnsiTheme="minorEastAsia" w:eastAsiaTheme="minorEastAsia" w:cstheme="minorEastAsia"/>
                <w:b/>
                <w:bCs/>
                <w:color w:val="000000"/>
                <w:sz w:val="16"/>
                <w:szCs w:val="16"/>
              </w:rPr>
              <w:t>Distance travelled (m)</w:t>
            </w:r>
          </w:p>
        </w:tc>
        <w:tc>
          <w:tcPr>
            <w:tcW w:w="715"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12</w:t>
            </w:r>
          </w:p>
        </w:tc>
        <w:tc>
          <w:tcPr>
            <w:tcW w:w="687"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18</w:t>
            </w:r>
          </w:p>
        </w:tc>
        <w:tc>
          <w:tcPr>
            <w:tcW w:w="688"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36</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52</w:t>
            </w:r>
          </w:p>
        </w:tc>
        <w:tc>
          <w:tcPr>
            <w:tcW w:w="687"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70</w:t>
            </w:r>
          </w:p>
        </w:tc>
        <w:tc>
          <w:tcPr>
            <w:tcW w:w="688" w:type="dxa"/>
            <w:shd w:val="clear" w:color="auto" w:fill="auto"/>
            <w:noWrap/>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14</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224</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28</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448</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eastAsia="zh-CN"/>
              </w:rPr>
              <w:t>56</w:t>
            </w:r>
            <w:r>
              <w:rPr>
                <w:rFonts w:hint="eastAsia" w:asciiTheme="minorEastAsia" w:hAnsiTheme="minorEastAsia" w:eastAsiaTheme="minorEastAsia" w:cstheme="minorEastAsia"/>
                <w:color w:val="000000"/>
                <w:sz w:val="18"/>
                <w:szCs w:val="18"/>
                <w:lang w:val="en-US"/>
              </w:rPr>
              <w:t>0</w:t>
            </w:r>
          </w:p>
        </w:tc>
      </w:tr>
      <w:bookmarkEnd w:id="5"/>
    </w:tbl>
    <w:p>
      <w:pPr>
        <w:widowControl w:val="0"/>
        <w:numPr>
          <w:ilvl w:val="0"/>
          <w:numId w:val="0"/>
        </w:numPr>
        <w:jc w:val="both"/>
        <w:rPr>
          <w:rFonts w:hint="eastAsia"/>
          <w:lang w:val="en-US" w:eastAsia="zh-CN"/>
        </w:rPr>
      </w:pPr>
    </w:p>
    <w:p>
      <w:pPr>
        <w:widowControl w:val="0"/>
        <w:numPr>
          <w:ilvl w:val="0"/>
          <w:numId w:val="0"/>
        </w:numPr>
        <w:jc w:val="center"/>
        <w:rPr>
          <w:rFonts w:hint="default"/>
          <w:lang w:val="en-US" w:eastAsia="zh-CN"/>
        </w:rPr>
      </w:pPr>
      <w:r>
        <w:rPr>
          <w:rFonts w:hint="eastAsia"/>
          <w:lang w:val="en-US" w:eastAsia="zh-CN"/>
        </w:rPr>
        <w:t>Table 6 L1-RSRP measurement delay and travelled distance analysis for N=2, P=2</w:t>
      </w:r>
    </w:p>
    <w:tbl>
      <w:tblPr>
        <w:tblStyle w:val="16"/>
        <w:tblW w:w="89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65"/>
        <w:gridCol w:w="715"/>
        <w:gridCol w:w="687"/>
        <w:gridCol w:w="688"/>
        <w:gridCol w:w="687"/>
        <w:gridCol w:w="687"/>
        <w:gridCol w:w="688"/>
        <w:gridCol w:w="687"/>
        <w:gridCol w:w="688"/>
        <w:gridCol w:w="687"/>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5"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color w:val="000000"/>
                <w:sz w:val="16"/>
                <w:szCs w:val="16"/>
                <w:vertAlign w:val="subscript"/>
                <w:lang w:val="en-US"/>
              </w:rPr>
            </w:pPr>
            <w:r>
              <w:rPr>
                <w:rFonts w:hint="eastAsia" w:asciiTheme="minorEastAsia" w:hAnsiTheme="minorEastAsia" w:eastAsiaTheme="minorEastAsia" w:cstheme="minorEastAsia"/>
                <w:b/>
                <w:bCs/>
                <w:color w:val="000000"/>
                <w:sz w:val="16"/>
                <w:szCs w:val="16"/>
              </w:rPr>
              <w:t>T</w:t>
            </w:r>
            <w:r>
              <w:rPr>
                <w:rFonts w:hint="eastAsia" w:asciiTheme="minorEastAsia" w:hAnsiTheme="minorEastAsia" w:eastAsiaTheme="minorEastAsia" w:cstheme="minorEastAsia"/>
                <w:b/>
                <w:bCs/>
                <w:color w:val="000000"/>
                <w:sz w:val="16"/>
                <w:szCs w:val="16"/>
                <w:vertAlign w:val="subscript"/>
              </w:rPr>
              <w:t xml:space="preserve">DRX </w:t>
            </w:r>
            <w:r>
              <w:rPr>
                <w:rFonts w:hint="eastAsia" w:asciiTheme="minorEastAsia" w:hAnsiTheme="minorEastAsia" w:eastAsiaTheme="minorEastAsia" w:cstheme="minorEastAsia"/>
                <w:b/>
                <w:bCs/>
                <w:color w:val="000000"/>
                <w:sz w:val="16"/>
                <w:szCs w:val="16"/>
              </w:rPr>
              <w:t>(ms)</w:t>
            </w:r>
          </w:p>
        </w:tc>
        <w:tc>
          <w:tcPr>
            <w:tcW w:w="715"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No DRX</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20</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40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80</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160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256</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320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512</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5"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b/>
                <w:bCs/>
                <w:color w:val="000000"/>
                <w:sz w:val="16"/>
                <w:szCs w:val="16"/>
              </w:rPr>
            </w:pPr>
            <w:r>
              <w:rPr>
                <w:rFonts w:hint="eastAsia" w:asciiTheme="minorEastAsia" w:hAnsiTheme="minorEastAsia" w:eastAsiaTheme="minorEastAsia" w:cstheme="minorEastAsia"/>
                <w:b/>
                <w:bCs/>
                <w:color w:val="000000"/>
                <w:sz w:val="16"/>
                <w:szCs w:val="16"/>
              </w:rPr>
              <w:t>T</w:t>
            </w:r>
            <w:r>
              <w:rPr>
                <w:rFonts w:hint="eastAsia" w:asciiTheme="minorEastAsia" w:hAnsiTheme="minorEastAsia" w:eastAsiaTheme="minorEastAsia" w:cstheme="minorEastAsia"/>
                <w:b/>
                <w:bCs/>
                <w:color w:val="000000"/>
                <w:sz w:val="16"/>
                <w:szCs w:val="16"/>
                <w:vertAlign w:val="subscript"/>
              </w:rPr>
              <w:t xml:space="preserve">L1-RSRP_Measurement_Period </w:t>
            </w:r>
            <w:r>
              <w:rPr>
                <w:rFonts w:hint="eastAsia" w:asciiTheme="minorEastAsia" w:hAnsiTheme="minorEastAsia" w:eastAsiaTheme="minorEastAsia" w:cstheme="minorEastAsia"/>
                <w:b/>
                <w:bCs/>
                <w:color w:val="000000"/>
                <w:sz w:val="16"/>
                <w:szCs w:val="16"/>
              </w:rPr>
              <w:t>(ms)</w:t>
            </w:r>
          </w:p>
        </w:tc>
        <w:tc>
          <w:tcPr>
            <w:tcW w:w="715" w:type="dxa"/>
            <w:shd w:val="clear" w:color="auto" w:fill="auto"/>
            <w:noWrap/>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240</w:t>
            </w:r>
          </w:p>
        </w:tc>
        <w:tc>
          <w:tcPr>
            <w:tcW w:w="687"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36</w:t>
            </w:r>
            <w:r>
              <w:rPr>
                <w:rFonts w:hint="eastAsia" w:asciiTheme="minorEastAsia" w:hAnsiTheme="minorEastAsia" w:eastAsiaTheme="minorEastAsia" w:cstheme="minorEastAsia"/>
                <w:color w:val="000000"/>
                <w:sz w:val="18"/>
                <w:szCs w:val="18"/>
                <w:lang w:val="en-US"/>
              </w:rPr>
              <w:t>0</w:t>
            </w:r>
          </w:p>
        </w:tc>
        <w:tc>
          <w:tcPr>
            <w:tcW w:w="688"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72</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1080</w:t>
            </w:r>
          </w:p>
        </w:tc>
        <w:tc>
          <w:tcPr>
            <w:tcW w:w="687"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144</w:t>
            </w:r>
            <w:r>
              <w:rPr>
                <w:rFonts w:hint="eastAsia" w:asciiTheme="minorEastAsia" w:hAnsiTheme="minorEastAsia" w:eastAsiaTheme="minorEastAsia" w:cstheme="minorEastAsia"/>
                <w:color w:val="000000"/>
                <w:sz w:val="18"/>
                <w:szCs w:val="18"/>
                <w:lang w:val="en-US"/>
              </w:rPr>
              <w:t>0</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2880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4608</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576</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9216</w:t>
            </w:r>
          </w:p>
        </w:tc>
        <w:tc>
          <w:tcPr>
            <w:tcW w:w="688"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7"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b/>
                <w:bCs/>
                <w:color w:val="000000"/>
                <w:sz w:val="16"/>
                <w:szCs w:val="16"/>
                <w:lang w:val="ru-RU"/>
              </w:rPr>
            </w:pPr>
            <w:r>
              <w:rPr>
                <w:rFonts w:hint="eastAsia" w:asciiTheme="minorEastAsia" w:hAnsiTheme="minorEastAsia" w:eastAsiaTheme="minorEastAsia" w:cstheme="minorEastAsia"/>
                <w:b/>
                <w:bCs/>
                <w:color w:val="000000"/>
                <w:sz w:val="16"/>
                <w:szCs w:val="16"/>
              </w:rPr>
              <w:t>Distance travelled (m)</w:t>
            </w:r>
          </w:p>
        </w:tc>
        <w:tc>
          <w:tcPr>
            <w:tcW w:w="715" w:type="dxa"/>
            <w:shd w:val="clear" w:color="auto" w:fill="auto"/>
            <w:noWrap/>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24</w:t>
            </w:r>
          </w:p>
        </w:tc>
        <w:tc>
          <w:tcPr>
            <w:tcW w:w="687"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36</w:t>
            </w:r>
          </w:p>
        </w:tc>
        <w:tc>
          <w:tcPr>
            <w:tcW w:w="688"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70</w:t>
            </w:r>
          </w:p>
        </w:tc>
        <w:tc>
          <w:tcPr>
            <w:tcW w:w="687"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104</w:t>
            </w:r>
          </w:p>
        </w:tc>
        <w:tc>
          <w:tcPr>
            <w:tcW w:w="687"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14</w:t>
            </w:r>
            <w:r>
              <w:rPr>
                <w:rFonts w:hint="eastAsia" w:asciiTheme="minorEastAsia" w:hAnsiTheme="minorEastAsia" w:eastAsiaTheme="minorEastAsia" w:cstheme="minorEastAsia"/>
                <w:color w:val="000000"/>
                <w:sz w:val="18"/>
                <w:szCs w:val="18"/>
                <w:lang w:val="en-US"/>
              </w:rPr>
              <w:t>0</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28</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448</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56</w:t>
            </w:r>
            <w:r>
              <w:rPr>
                <w:rFonts w:hint="eastAsia" w:asciiTheme="minorEastAsia" w:hAnsiTheme="minorEastAsia" w:eastAsiaTheme="minorEastAsia" w:cstheme="minorEastAsia"/>
                <w:color w:val="000000"/>
                <w:sz w:val="18"/>
                <w:szCs w:val="18"/>
                <w:lang w:val="en-US"/>
              </w:rPr>
              <w:t>0</w:t>
            </w:r>
          </w:p>
        </w:tc>
        <w:tc>
          <w:tcPr>
            <w:tcW w:w="687"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896</w:t>
            </w:r>
          </w:p>
        </w:tc>
        <w:tc>
          <w:tcPr>
            <w:tcW w:w="688"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eastAsiaTheme="minorEastAsia" w:cstheme="minorEastAsia"/>
                <w:color w:val="000000"/>
                <w:sz w:val="18"/>
                <w:szCs w:val="18"/>
                <w:lang w:val="en-US" w:eastAsia="zh-CN"/>
              </w:rPr>
              <w:t>1120</w:t>
            </w:r>
          </w:p>
        </w:tc>
      </w:tr>
    </w:tbl>
    <w:p>
      <w:pPr>
        <w:widowControl w:val="0"/>
        <w:numPr>
          <w:ilvl w:val="0"/>
          <w:numId w:val="0"/>
        </w:numPr>
        <w:jc w:val="both"/>
        <w:rPr>
          <w:rFonts w:hint="eastAsia"/>
          <w:lang w:val="en-US" w:eastAsia="zh-CN"/>
        </w:rPr>
      </w:pPr>
    </w:p>
    <w:p>
      <w:pPr>
        <w:widowControl w:val="0"/>
        <w:numPr>
          <w:ilvl w:val="0"/>
          <w:numId w:val="0"/>
        </w:numPr>
        <w:jc w:val="center"/>
        <w:rPr>
          <w:rFonts w:hint="default"/>
          <w:lang w:val="en-US" w:eastAsia="zh-CN"/>
        </w:rPr>
      </w:pPr>
      <w:r>
        <w:rPr>
          <w:rFonts w:hint="eastAsia"/>
          <w:lang w:val="en-US" w:eastAsia="zh-CN"/>
        </w:rPr>
        <w:t>Table 7 L1-RSRP measurement delay and travelled distance analysis for N=2, P=3</w:t>
      </w:r>
    </w:p>
    <w:tbl>
      <w:tblPr>
        <w:tblStyle w:val="16"/>
        <w:tblW w:w="89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65"/>
        <w:gridCol w:w="715"/>
        <w:gridCol w:w="687"/>
        <w:gridCol w:w="688"/>
        <w:gridCol w:w="687"/>
        <w:gridCol w:w="687"/>
        <w:gridCol w:w="688"/>
        <w:gridCol w:w="687"/>
        <w:gridCol w:w="688"/>
        <w:gridCol w:w="687"/>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5"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color w:val="000000"/>
                <w:sz w:val="16"/>
                <w:szCs w:val="16"/>
                <w:vertAlign w:val="subscript"/>
                <w:lang w:val="en-US"/>
              </w:rPr>
            </w:pPr>
            <w:r>
              <w:rPr>
                <w:rFonts w:hint="eastAsia" w:asciiTheme="minorEastAsia" w:hAnsiTheme="minorEastAsia" w:eastAsiaTheme="minorEastAsia" w:cstheme="minorEastAsia"/>
                <w:b/>
                <w:bCs/>
                <w:color w:val="000000"/>
                <w:sz w:val="16"/>
                <w:szCs w:val="16"/>
              </w:rPr>
              <w:t>T</w:t>
            </w:r>
            <w:r>
              <w:rPr>
                <w:rFonts w:hint="eastAsia" w:asciiTheme="minorEastAsia" w:hAnsiTheme="minorEastAsia" w:eastAsiaTheme="minorEastAsia" w:cstheme="minorEastAsia"/>
                <w:b/>
                <w:bCs/>
                <w:color w:val="000000"/>
                <w:sz w:val="16"/>
                <w:szCs w:val="16"/>
                <w:vertAlign w:val="subscript"/>
              </w:rPr>
              <w:t xml:space="preserve">DRX </w:t>
            </w:r>
            <w:r>
              <w:rPr>
                <w:rFonts w:hint="eastAsia" w:asciiTheme="minorEastAsia" w:hAnsiTheme="minorEastAsia" w:eastAsiaTheme="minorEastAsia" w:cstheme="minorEastAsia"/>
                <w:b/>
                <w:bCs/>
                <w:color w:val="000000"/>
                <w:sz w:val="16"/>
                <w:szCs w:val="16"/>
              </w:rPr>
              <w:t>(ms)</w:t>
            </w:r>
          </w:p>
        </w:tc>
        <w:tc>
          <w:tcPr>
            <w:tcW w:w="715"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No DRX</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20</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40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80</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160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256</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320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512</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5"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b/>
                <w:bCs/>
                <w:color w:val="000000"/>
                <w:sz w:val="16"/>
                <w:szCs w:val="16"/>
              </w:rPr>
            </w:pPr>
            <w:r>
              <w:rPr>
                <w:rFonts w:hint="eastAsia" w:asciiTheme="minorEastAsia" w:hAnsiTheme="minorEastAsia" w:eastAsiaTheme="minorEastAsia" w:cstheme="minorEastAsia"/>
                <w:b/>
                <w:bCs/>
                <w:color w:val="000000"/>
                <w:sz w:val="16"/>
                <w:szCs w:val="16"/>
              </w:rPr>
              <w:t>T</w:t>
            </w:r>
            <w:r>
              <w:rPr>
                <w:rFonts w:hint="eastAsia" w:asciiTheme="minorEastAsia" w:hAnsiTheme="minorEastAsia" w:eastAsiaTheme="minorEastAsia" w:cstheme="minorEastAsia"/>
                <w:b/>
                <w:bCs/>
                <w:color w:val="000000"/>
                <w:sz w:val="16"/>
                <w:szCs w:val="16"/>
                <w:vertAlign w:val="subscript"/>
              </w:rPr>
              <w:t xml:space="preserve">L1-RSRP_Measurement_Period </w:t>
            </w:r>
            <w:r>
              <w:rPr>
                <w:rFonts w:hint="eastAsia" w:asciiTheme="minorEastAsia" w:hAnsiTheme="minorEastAsia" w:eastAsiaTheme="minorEastAsia" w:cstheme="minorEastAsia"/>
                <w:b/>
                <w:bCs/>
                <w:color w:val="000000"/>
                <w:sz w:val="16"/>
                <w:szCs w:val="16"/>
              </w:rPr>
              <w:t>(ms)</w:t>
            </w:r>
          </w:p>
        </w:tc>
        <w:tc>
          <w:tcPr>
            <w:tcW w:w="715"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360</w:t>
            </w:r>
          </w:p>
        </w:tc>
        <w:tc>
          <w:tcPr>
            <w:tcW w:w="687"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540</w:t>
            </w:r>
          </w:p>
        </w:tc>
        <w:tc>
          <w:tcPr>
            <w:tcW w:w="688"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1080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1620</w:t>
            </w:r>
          </w:p>
        </w:tc>
        <w:tc>
          <w:tcPr>
            <w:tcW w:w="687"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2160</w:t>
            </w:r>
          </w:p>
        </w:tc>
        <w:tc>
          <w:tcPr>
            <w:tcW w:w="688"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4320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6912</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8640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13824</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17280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7"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b/>
                <w:bCs/>
                <w:color w:val="000000"/>
                <w:sz w:val="16"/>
                <w:szCs w:val="16"/>
                <w:lang w:val="ru-RU"/>
              </w:rPr>
            </w:pPr>
            <w:r>
              <w:rPr>
                <w:rFonts w:hint="eastAsia" w:asciiTheme="minorEastAsia" w:hAnsiTheme="minorEastAsia" w:eastAsiaTheme="minorEastAsia" w:cstheme="minorEastAsia"/>
                <w:b/>
                <w:bCs/>
                <w:color w:val="000000"/>
                <w:sz w:val="16"/>
                <w:szCs w:val="16"/>
              </w:rPr>
              <w:t>Distance travelled (m)</w:t>
            </w:r>
          </w:p>
        </w:tc>
        <w:tc>
          <w:tcPr>
            <w:tcW w:w="715"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36</w:t>
            </w:r>
          </w:p>
        </w:tc>
        <w:tc>
          <w:tcPr>
            <w:tcW w:w="687"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54</w:t>
            </w:r>
          </w:p>
        </w:tc>
        <w:tc>
          <w:tcPr>
            <w:tcW w:w="688"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108</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156</w:t>
            </w:r>
          </w:p>
        </w:tc>
        <w:tc>
          <w:tcPr>
            <w:tcW w:w="687"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210</w:t>
            </w:r>
          </w:p>
        </w:tc>
        <w:tc>
          <w:tcPr>
            <w:tcW w:w="688"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420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672</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840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1344</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1680</w:t>
            </w:r>
          </w:p>
        </w:tc>
      </w:tr>
    </w:tbl>
    <w:p>
      <w:pPr>
        <w:widowControl w:val="0"/>
        <w:numPr>
          <w:ilvl w:val="0"/>
          <w:numId w:val="0"/>
        </w:numPr>
        <w:jc w:val="both"/>
        <w:rPr>
          <w:rFonts w:hint="eastAsia"/>
          <w:lang w:val="en-US" w:eastAsia="zh-CN"/>
        </w:rPr>
      </w:pPr>
    </w:p>
    <w:p>
      <w:pPr>
        <w:widowControl w:val="0"/>
        <w:numPr>
          <w:ilvl w:val="0"/>
          <w:numId w:val="0"/>
        </w:numPr>
        <w:jc w:val="center"/>
        <w:rPr>
          <w:rFonts w:hint="default"/>
          <w:lang w:val="en-US" w:eastAsia="zh-CN"/>
        </w:rPr>
      </w:pPr>
      <w:r>
        <w:rPr>
          <w:rFonts w:hint="eastAsia"/>
          <w:lang w:val="en-US" w:eastAsia="zh-CN"/>
        </w:rPr>
        <w:t>Table 8 L1-RSRP measurement delay and travelled distance analysis for N=2, P=6</w:t>
      </w:r>
    </w:p>
    <w:tbl>
      <w:tblPr>
        <w:tblStyle w:val="16"/>
        <w:tblW w:w="89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65"/>
        <w:gridCol w:w="715"/>
        <w:gridCol w:w="687"/>
        <w:gridCol w:w="688"/>
        <w:gridCol w:w="687"/>
        <w:gridCol w:w="687"/>
        <w:gridCol w:w="688"/>
        <w:gridCol w:w="687"/>
        <w:gridCol w:w="688"/>
        <w:gridCol w:w="687"/>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5"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color w:val="000000"/>
                <w:sz w:val="16"/>
                <w:szCs w:val="16"/>
                <w:vertAlign w:val="subscript"/>
                <w:lang w:val="en-US"/>
              </w:rPr>
            </w:pPr>
            <w:r>
              <w:rPr>
                <w:rFonts w:hint="eastAsia" w:asciiTheme="minorEastAsia" w:hAnsiTheme="minorEastAsia" w:eastAsiaTheme="minorEastAsia" w:cstheme="minorEastAsia"/>
                <w:b/>
                <w:bCs/>
                <w:color w:val="000000"/>
                <w:sz w:val="16"/>
                <w:szCs w:val="16"/>
              </w:rPr>
              <w:t>T</w:t>
            </w:r>
            <w:r>
              <w:rPr>
                <w:rFonts w:hint="eastAsia" w:asciiTheme="minorEastAsia" w:hAnsiTheme="minorEastAsia" w:eastAsiaTheme="minorEastAsia" w:cstheme="minorEastAsia"/>
                <w:b/>
                <w:bCs/>
                <w:color w:val="000000"/>
                <w:sz w:val="16"/>
                <w:szCs w:val="16"/>
                <w:vertAlign w:val="subscript"/>
              </w:rPr>
              <w:t xml:space="preserve">DRX </w:t>
            </w:r>
            <w:r>
              <w:rPr>
                <w:rFonts w:hint="eastAsia" w:asciiTheme="minorEastAsia" w:hAnsiTheme="minorEastAsia" w:eastAsiaTheme="minorEastAsia" w:cstheme="minorEastAsia"/>
                <w:b/>
                <w:bCs/>
                <w:color w:val="000000"/>
                <w:sz w:val="16"/>
                <w:szCs w:val="16"/>
              </w:rPr>
              <w:t>(ms)</w:t>
            </w:r>
          </w:p>
        </w:tc>
        <w:tc>
          <w:tcPr>
            <w:tcW w:w="715"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No DRX</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20</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40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80</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160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256</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320</w:t>
            </w:r>
          </w:p>
        </w:tc>
        <w:tc>
          <w:tcPr>
            <w:tcW w:w="687"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512</w:t>
            </w:r>
          </w:p>
        </w:tc>
        <w:tc>
          <w:tcPr>
            <w:tcW w:w="688" w:type="dxa"/>
            <w:shd w:val="clear" w:color="auto" w:fill="auto"/>
            <w:noWrap/>
            <w:vAlign w:val="center"/>
          </w:tcPr>
          <w:p>
            <w:pPr>
              <w:overflowPunct/>
              <w:autoSpaceDE/>
              <w:autoSpaceDN/>
              <w:adjustRightInd/>
              <w:spacing w:after="0"/>
              <w:jc w:val="center"/>
              <w:textAlignment w:val="auto"/>
              <w:rPr>
                <w:rFonts w:hint="eastAsia" w:asciiTheme="minorEastAsia" w:hAnsiTheme="minorEastAsia" w:eastAsiaTheme="minorEastAsia" w:cstheme="minorEastAsia"/>
                <w:color w:val="000000"/>
                <w:sz w:val="18"/>
                <w:szCs w:val="18"/>
                <w:lang w:val="en-US"/>
              </w:rPr>
            </w:pPr>
            <w:r>
              <w:rPr>
                <w:rFonts w:hint="eastAsia" w:asciiTheme="minorEastAsia" w:hAnsiTheme="minorEastAsia" w:eastAsiaTheme="minorEastAsia" w:cstheme="minorEastAsia"/>
                <w:color w:val="000000"/>
                <w:sz w:val="18"/>
                <w:szCs w:val="18"/>
                <w:lang w:val="en-US"/>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5"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b/>
                <w:bCs/>
                <w:color w:val="000000"/>
                <w:sz w:val="16"/>
                <w:szCs w:val="16"/>
              </w:rPr>
            </w:pPr>
            <w:r>
              <w:rPr>
                <w:rFonts w:hint="eastAsia" w:asciiTheme="minorEastAsia" w:hAnsiTheme="minorEastAsia" w:eastAsiaTheme="minorEastAsia" w:cstheme="minorEastAsia"/>
                <w:b/>
                <w:bCs/>
                <w:color w:val="000000"/>
                <w:sz w:val="16"/>
                <w:szCs w:val="16"/>
              </w:rPr>
              <w:t>T</w:t>
            </w:r>
            <w:r>
              <w:rPr>
                <w:rFonts w:hint="eastAsia" w:asciiTheme="minorEastAsia" w:hAnsiTheme="minorEastAsia" w:eastAsiaTheme="minorEastAsia" w:cstheme="minorEastAsia"/>
                <w:b/>
                <w:bCs/>
                <w:color w:val="000000"/>
                <w:sz w:val="16"/>
                <w:szCs w:val="16"/>
                <w:vertAlign w:val="subscript"/>
              </w:rPr>
              <w:t xml:space="preserve">L1-RSRP_Measurement_Period </w:t>
            </w:r>
            <w:r>
              <w:rPr>
                <w:rFonts w:hint="eastAsia" w:asciiTheme="minorEastAsia" w:hAnsiTheme="minorEastAsia" w:eastAsiaTheme="minorEastAsia" w:cstheme="minorEastAsia"/>
                <w:b/>
                <w:bCs/>
                <w:color w:val="000000"/>
                <w:sz w:val="16"/>
                <w:szCs w:val="16"/>
              </w:rPr>
              <w:t>(ms)</w:t>
            </w:r>
          </w:p>
        </w:tc>
        <w:tc>
          <w:tcPr>
            <w:tcW w:w="715" w:type="dxa"/>
            <w:shd w:val="clear" w:color="auto" w:fill="auto"/>
            <w:noWrap/>
            <w:vAlign w:val="top"/>
          </w:tcPr>
          <w:p>
            <w:pPr>
              <w:overflowPunct/>
              <w:autoSpaceDE/>
              <w:autoSpaceDN/>
              <w:adjustRightInd/>
              <w:spacing w:after="0"/>
              <w:jc w:val="center"/>
              <w:textAlignment w:val="auto"/>
              <w:rPr>
                <w:rFonts w:hint="default"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720</w:t>
            </w:r>
          </w:p>
        </w:tc>
        <w:tc>
          <w:tcPr>
            <w:tcW w:w="687"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1080</w:t>
            </w:r>
          </w:p>
        </w:tc>
        <w:tc>
          <w:tcPr>
            <w:tcW w:w="688"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1080</w:t>
            </w:r>
          </w:p>
        </w:tc>
        <w:tc>
          <w:tcPr>
            <w:tcW w:w="687"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kern w:val="2"/>
                <w:sz w:val="18"/>
                <w:szCs w:val="18"/>
                <w:lang w:val="en-US" w:eastAsia="zh-CN" w:bidi="ar-SA"/>
              </w:rPr>
              <w:t>3240</w:t>
            </w:r>
          </w:p>
        </w:tc>
        <w:tc>
          <w:tcPr>
            <w:tcW w:w="687" w:type="dxa"/>
            <w:shd w:val="clear" w:color="auto" w:fill="auto"/>
            <w:noWrap/>
            <w:vAlign w:val="top"/>
          </w:tcPr>
          <w:p>
            <w:pPr>
              <w:overflowPunct/>
              <w:autoSpaceDE/>
              <w:autoSpaceDN/>
              <w:adjustRightInd/>
              <w:spacing w:after="0"/>
              <w:jc w:val="center"/>
              <w:textAlignment w:val="auto"/>
              <w:rPr>
                <w:rFonts w:hint="default"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kern w:val="2"/>
                <w:sz w:val="18"/>
                <w:szCs w:val="18"/>
                <w:lang w:val="en-US" w:eastAsia="zh-CN" w:bidi="ar-SA"/>
              </w:rPr>
              <w:t>4320</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8640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13824</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17280</w:t>
            </w:r>
          </w:p>
        </w:tc>
        <w:tc>
          <w:tcPr>
            <w:tcW w:w="687"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kern w:val="2"/>
                <w:sz w:val="18"/>
                <w:szCs w:val="18"/>
                <w:lang w:val="en-US" w:eastAsia="zh-CN" w:bidi="ar-SA"/>
              </w:rPr>
              <w:t>27648</w:t>
            </w:r>
          </w:p>
        </w:tc>
        <w:tc>
          <w:tcPr>
            <w:tcW w:w="688"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kern w:val="2"/>
                <w:sz w:val="18"/>
                <w:szCs w:val="18"/>
                <w:lang w:val="en-US" w:eastAsia="zh-CN" w:bidi="ar-SA"/>
              </w:rPr>
              <w:t>34560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7" w:hRule="atLeast"/>
        </w:trPr>
        <w:tc>
          <w:tcPr>
            <w:tcW w:w="2065" w:type="dxa"/>
            <w:shd w:val="clear" w:color="auto" w:fill="auto"/>
            <w:noWrap/>
            <w:vAlign w:val="center"/>
          </w:tcPr>
          <w:p>
            <w:pPr>
              <w:overflowPunct/>
              <w:autoSpaceDE/>
              <w:autoSpaceDN/>
              <w:adjustRightInd/>
              <w:spacing w:after="0"/>
              <w:textAlignment w:val="auto"/>
              <w:rPr>
                <w:rFonts w:hint="eastAsia" w:asciiTheme="minorEastAsia" w:hAnsiTheme="minorEastAsia" w:eastAsiaTheme="minorEastAsia" w:cstheme="minorEastAsia"/>
                <w:b/>
                <w:bCs/>
                <w:color w:val="000000"/>
                <w:sz w:val="16"/>
                <w:szCs w:val="16"/>
                <w:lang w:val="ru-RU"/>
              </w:rPr>
            </w:pPr>
            <w:r>
              <w:rPr>
                <w:rFonts w:hint="eastAsia" w:asciiTheme="minorEastAsia" w:hAnsiTheme="minorEastAsia" w:eastAsiaTheme="minorEastAsia" w:cstheme="minorEastAsia"/>
                <w:b/>
                <w:bCs/>
                <w:color w:val="000000"/>
                <w:sz w:val="16"/>
                <w:szCs w:val="16"/>
              </w:rPr>
              <w:t>Distance travelled (m)</w:t>
            </w:r>
          </w:p>
        </w:tc>
        <w:tc>
          <w:tcPr>
            <w:tcW w:w="715" w:type="dxa"/>
            <w:shd w:val="clear" w:color="auto" w:fill="auto"/>
            <w:noWrap/>
            <w:vAlign w:val="top"/>
          </w:tcPr>
          <w:p>
            <w:pPr>
              <w:overflowPunct/>
              <w:autoSpaceDE/>
              <w:autoSpaceDN/>
              <w:adjustRightInd/>
              <w:spacing w:after="0"/>
              <w:jc w:val="center"/>
              <w:textAlignment w:val="auto"/>
              <w:rPr>
                <w:rFonts w:hint="default"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kern w:val="2"/>
                <w:sz w:val="18"/>
                <w:szCs w:val="18"/>
                <w:lang w:val="en-US" w:eastAsia="zh-CN" w:bidi="ar-SA"/>
              </w:rPr>
              <w:t>72</w:t>
            </w:r>
          </w:p>
        </w:tc>
        <w:tc>
          <w:tcPr>
            <w:tcW w:w="687"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108</w:t>
            </w:r>
          </w:p>
        </w:tc>
        <w:tc>
          <w:tcPr>
            <w:tcW w:w="688" w:type="dxa"/>
            <w:shd w:val="clear" w:color="auto" w:fill="auto"/>
            <w:noWrap/>
            <w:vAlign w:val="top"/>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108</w:t>
            </w:r>
          </w:p>
        </w:tc>
        <w:tc>
          <w:tcPr>
            <w:tcW w:w="687"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kern w:val="2"/>
                <w:sz w:val="18"/>
                <w:szCs w:val="18"/>
                <w:lang w:val="en-US" w:eastAsia="zh-CN" w:bidi="ar-SA"/>
              </w:rPr>
              <w:t>312</w:t>
            </w:r>
          </w:p>
        </w:tc>
        <w:tc>
          <w:tcPr>
            <w:tcW w:w="687" w:type="dxa"/>
            <w:shd w:val="clear" w:color="auto" w:fill="auto"/>
            <w:noWrap/>
            <w:vAlign w:val="top"/>
          </w:tcPr>
          <w:p>
            <w:pPr>
              <w:overflowPunct/>
              <w:autoSpaceDE/>
              <w:autoSpaceDN/>
              <w:adjustRightInd/>
              <w:spacing w:after="0"/>
              <w:jc w:val="center"/>
              <w:textAlignment w:val="auto"/>
              <w:rPr>
                <w:rFonts w:hint="default"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kern w:val="2"/>
                <w:sz w:val="18"/>
                <w:szCs w:val="18"/>
                <w:lang w:val="en-US" w:eastAsia="zh-CN" w:bidi="ar-SA"/>
              </w:rPr>
              <w:t>420</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840</w:t>
            </w:r>
          </w:p>
        </w:tc>
        <w:tc>
          <w:tcPr>
            <w:tcW w:w="687"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1344</w:t>
            </w:r>
          </w:p>
        </w:tc>
        <w:tc>
          <w:tcPr>
            <w:tcW w:w="688" w:type="dxa"/>
            <w:shd w:val="clear" w:color="auto" w:fill="auto"/>
            <w:noWrap/>
            <w:vAlign w:val="bottom"/>
          </w:tcPr>
          <w:p>
            <w:pPr>
              <w:overflowPunct/>
              <w:autoSpaceDE/>
              <w:autoSpaceDN/>
              <w:adjustRightInd/>
              <w:spacing w:after="0"/>
              <w:jc w:val="center"/>
              <w:textAlignment w:val="auto"/>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lang w:val="en-US" w:eastAsia="zh-CN"/>
              </w:rPr>
              <w:t>1680</w:t>
            </w:r>
          </w:p>
        </w:tc>
        <w:tc>
          <w:tcPr>
            <w:tcW w:w="687"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kern w:val="2"/>
                <w:sz w:val="18"/>
                <w:szCs w:val="18"/>
                <w:lang w:val="en-US" w:eastAsia="zh-CN" w:bidi="ar-SA"/>
              </w:rPr>
              <w:t>2688</w:t>
            </w:r>
          </w:p>
        </w:tc>
        <w:tc>
          <w:tcPr>
            <w:tcW w:w="688" w:type="dxa"/>
            <w:shd w:val="clear" w:color="auto" w:fill="auto"/>
            <w:noWrap/>
            <w:vAlign w:val="bottom"/>
          </w:tcPr>
          <w:p>
            <w:pPr>
              <w:overflowPunct/>
              <w:autoSpaceDE/>
              <w:autoSpaceDN/>
              <w:adjustRightInd/>
              <w:spacing w:after="0"/>
              <w:jc w:val="center"/>
              <w:textAlignment w:val="auto"/>
              <w:rPr>
                <w:rFonts w:hint="default"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kern w:val="2"/>
                <w:sz w:val="18"/>
                <w:szCs w:val="18"/>
                <w:lang w:val="en-US" w:eastAsia="zh-CN" w:bidi="ar-SA"/>
              </w:rPr>
              <w:t>3360</w:t>
            </w:r>
          </w:p>
        </w:tc>
      </w:tr>
    </w:tbl>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Considering the inter-distance of 700 meters between two adjacent RRHs, only Table 1, Table 2 and Table 5 may support all DRX cycle cases. But align with other tables, the current Rel-16 requirements will result in a large delay in L1-RSRP measurement and unable to support some DRX cycle cases.</w:t>
      </w:r>
    </w:p>
    <w:p>
      <w:pPr>
        <w:pStyle w:val="3"/>
        <w:keepNext w:val="0"/>
        <w:keepLines w:val="0"/>
        <w:pageBreakBefore w:val="0"/>
        <w:widowControl/>
        <w:kinsoku/>
        <w:wordWrap/>
        <w:overflowPunct/>
        <w:topLinePunct w:val="0"/>
        <w:autoSpaceDE/>
        <w:autoSpaceDN/>
        <w:bidi w:val="0"/>
        <w:adjustRightInd/>
        <w:snapToGrid/>
        <w:textAlignment w:val="auto"/>
        <w:rPr>
          <w:rFonts w:hint="eastAsia" w:ascii="Times New Roman" w:hAnsi="Times New Roman" w:eastAsia="宋体" w:cs="Times New Roman"/>
          <w:b/>
          <w:bCs/>
          <w:color w:val="auto"/>
          <w:sz w:val="20"/>
          <w:szCs w:val="20"/>
          <w:lang w:val="en-US" w:eastAsia="zh-CN" w:bidi="ar-SA"/>
        </w:rPr>
      </w:pPr>
      <w:r>
        <w:rPr>
          <w:rFonts w:hint="eastAsia" w:eastAsia="宋体" w:cs="Times New Roman"/>
          <w:b/>
          <w:bCs/>
          <w:color w:val="auto"/>
          <w:sz w:val="20"/>
          <w:szCs w:val="20"/>
          <w:lang w:val="en-US" w:eastAsia="zh-CN" w:bidi="ar-SA"/>
        </w:rPr>
        <w:t>Observation</w:t>
      </w:r>
      <w:r>
        <w:rPr>
          <w:rFonts w:hint="eastAsia" w:ascii="Times New Roman" w:hAnsi="Times New Roman" w:eastAsia="宋体" w:cs="Times New Roman"/>
          <w:b/>
          <w:bCs/>
          <w:color w:val="auto"/>
          <w:sz w:val="20"/>
          <w:szCs w:val="20"/>
          <w:lang w:val="en-US" w:eastAsia="zh-CN" w:bidi="ar-SA"/>
        </w:rPr>
        <w:t xml:space="preserve"> </w:t>
      </w:r>
      <w:r>
        <w:rPr>
          <w:rFonts w:hint="eastAsia" w:eastAsia="宋体" w:cs="Times New Roman"/>
          <w:b/>
          <w:bCs/>
          <w:color w:val="auto"/>
          <w:sz w:val="20"/>
          <w:szCs w:val="20"/>
          <w:lang w:val="en-US" w:eastAsia="zh-CN" w:bidi="ar-SA"/>
        </w:rPr>
        <w:t>2</w:t>
      </w:r>
      <w:r>
        <w:rPr>
          <w:rFonts w:hint="eastAsia" w:ascii="Times New Roman" w:hAnsi="Times New Roman" w:eastAsia="宋体" w:cs="Times New Roman"/>
          <w:b/>
          <w:bCs/>
          <w:color w:val="auto"/>
          <w:sz w:val="20"/>
          <w:szCs w:val="20"/>
          <w:lang w:val="en-US" w:eastAsia="zh-CN" w:bidi="ar-SA"/>
        </w:rPr>
        <w:t>: Based on R16 requirements, L1-RSRP measurements delay for unknown case may be too large for HST. Such cases should be further considered.</w:t>
      </w:r>
    </w:p>
    <w:p>
      <w:pPr>
        <w:pStyle w:val="4"/>
        <w:bidi w:val="0"/>
        <w:rPr>
          <w:rFonts w:hint="default"/>
          <w:color w:val="auto"/>
          <w:sz w:val="28"/>
          <w:szCs w:val="28"/>
          <w:lang w:val="en-US" w:eastAsia="zh-CN"/>
        </w:rPr>
      </w:pPr>
      <w:r>
        <w:rPr>
          <w:rFonts w:hint="eastAsia"/>
          <w:color w:val="auto"/>
          <w:sz w:val="28"/>
          <w:szCs w:val="28"/>
          <w:lang w:val="en-US" w:eastAsia="zh-CN"/>
        </w:rPr>
        <w:t>2.4 Impact on the Cell identification</w:t>
      </w:r>
    </w:p>
    <w:p>
      <w:pPr>
        <w:widowControl w:val="0"/>
        <w:numPr>
          <w:ilvl w:val="0"/>
          <w:numId w:val="0"/>
        </w:numPr>
        <w:jc w:val="both"/>
        <w:rPr>
          <w:rFonts w:hint="default" w:ascii="Times New Roman" w:hAnsi="Times New Roman" w:eastAsia="MS Mincho" w:cs="Times New Roman"/>
          <w:szCs w:val="24"/>
          <w:lang w:val="en-US" w:eastAsia="zh-CN" w:bidi="ar-SA"/>
        </w:rPr>
      </w:pPr>
      <w:r>
        <w:rPr>
          <w:rFonts w:hint="eastAsia" w:ascii="Times New Roman" w:hAnsi="Times New Roman" w:eastAsia="MS Mincho" w:cs="Times New Roman"/>
          <w:szCs w:val="24"/>
          <w:lang w:val="en-US" w:eastAsia="zh-CN" w:bidi="ar-SA"/>
        </w:rPr>
        <w:t>For intra-f</w:t>
      </w:r>
      <w:r>
        <w:rPr>
          <w:rFonts w:hint="eastAsia" w:eastAsia="MS Mincho" w:cs="Times New Roman"/>
          <w:szCs w:val="24"/>
          <w:lang w:val="en-US" w:eastAsia="zh-CN" w:bidi="ar-SA"/>
        </w:rPr>
        <w:t>requency</w:t>
      </w:r>
      <w:r>
        <w:rPr>
          <w:rFonts w:hint="eastAsia" w:ascii="Times New Roman" w:hAnsi="Times New Roman" w:eastAsia="MS Mincho" w:cs="Times New Roman"/>
          <w:szCs w:val="24"/>
          <w:lang w:val="en-US" w:eastAsia="zh-CN" w:bidi="ar-SA"/>
        </w:rPr>
        <w:t xml:space="preserve"> cell identification, PSS/SSS detection and measurement period are included in the processing delay, which are shown as blow:</w:t>
      </w:r>
    </w:p>
    <w:p>
      <w:pPr>
        <w:pStyle w:val="35"/>
        <w:rPr>
          <w:rFonts w:ascii="Times New Roman" w:hAnsi="Times New Roman" w:cs="Times New Roman"/>
          <w:sz w:val="20"/>
          <w:szCs w:val="20"/>
        </w:rPr>
      </w:pPr>
      <w:r>
        <w:rPr>
          <w:rFonts w:ascii="Times New Roman" w:hAnsi="Times New Roman" w:cs="Times New Roman"/>
          <w:sz w:val="20"/>
          <w:szCs w:val="20"/>
        </w:rPr>
        <w:t>Table 9.2.5.1-2: Time period for PSS/SSS detection, (Frequency range FR2)</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04"/>
        <w:gridCol w:w="4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4" w:type="dxa"/>
            <w:tcBorders>
              <w:top w:val="single" w:color="auto" w:sz="4" w:space="0"/>
              <w:left w:val="single" w:color="auto" w:sz="4" w:space="0"/>
              <w:bottom w:val="single" w:color="auto" w:sz="4" w:space="0"/>
              <w:right w:val="single" w:color="auto" w:sz="4" w:space="0"/>
            </w:tcBorders>
          </w:tcPr>
          <w:p>
            <w:pPr>
              <w:pStyle w:val="32"/>
              <w:spacing w:line="276" w:lineRule="auto"/>
              <w:rPr>
                <w:rFonts w:ascii="Times New Roman" w:hAnsi="Times New Roman" w:cs="Times New Roman"/>
                <w:sz w:val="20"/>
                <w:szCs w:val="20"/>
                <w:lang w:eastAsia="en-US"/>
              </w:rPr>
            </w:pPr>
            <w:r>
              <w:rPr>
                <w:rFonts w:ascii="Times New Roman" w:hAnsi="Times New Roman" w:cs="Times New Roman"/>
                <w:sz w:val="20"/>
                <w:szCs w:val="20"/>
              </w:rPr>
              <w:t>DRX cycle</w:t>
            </w:r>
          </w:p>
        </w:tc>
        <w:tc>
          <w:tcPr>
            <w:tcW w:w="4452" w:type="dxa"/>
            <w:tcBorders>
              <w:top w:val="single" w:color="auto" w:sz="4" w:space="0"/>
              <w:left w:val="single" w:color="auto" w:sz="4" w:space="0"/>
              <w:bottom w:val="single" w:color="auto" w:sz="4" w:space="0"/>
              <w:right w:val="single" w:color="auto" w:sz="4" w:space="0"/>
            </w:tcBorders>
          </w:tcPr>
          <w:p>
            <w:pPr>
              <w:pStyle w:val="32"/>
              <w:spacing w:line="276" w:lineRule="auto"/>
              <w:rPr>
                <w:rFonts w:ascii="Times New Roman" w:hAnsi="Times New Roman" w:cs="Times New Roman"/>
                <w:sz w:val="20"/>
                <w:szCs w:val="20"/>
                <w:lang w:eastAsia="en-US"/>
              </w:rPr>
            </w:pPr>
            <w:r>
              <w:rPr>
                <w:rFonts w:ascii="Times New Roman" w:hAnsi="Times New Roman" w:cs="Times New Roman"/>
                <w:sz w:val="20"/>
                <w:szCs w:val="20"/>
              </w:rPr>
              <w:t>T</w:t>
            </w:r>
            <w:r>
              <w:rPr>
                <w:rFonts w:ascii="Times New Roman" w:hAnsi="Times New Roman" w:cs="Times New Roman"/>
                <w:sz w:val="20"/>
                <w:szCs w:val="20"/>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4" w:type="dxa"/>
            <w:tcBorders>
              <w:top w:val="single" w:color="auto" w:sz="4" w:space="0"/>
              <w:left w:val="single" w:color="auto" w:sz="4" w:space="0"/>
              <w:bottom w:val="single" w:color="auto" w:sz="4" w:space="0"/>
              <w:right w:val="single" w:color="auto" w:sz="4" w:space="0"/>
            </w:tcBorders>
          </w:tcPr>
          <w:p>
            <w:pPr>
              <w:pStyle w:val="33"/>
              <w:spacing w:line="276" w:lineRule="auto"/>
              <w:rPr>
                <w:rFonts w:ascii="Times New Roman" w:hAnsi="Times New Roman" w:cs="Times New Roman"/>
                <w:sz w:val="20"/>
                <w:szCs w:val="20"/>
                <w:lang w:eastAsia="en-US"/>
              </w:rPr>
            </w:pPr>
            <w:r>
              <w:rPr>
                <w:rFonts w:ascii="Times New Roman" w:hAnsi="Times New Roman" w:cs="Times New Roman"/>
                <w:sz w:val="20"/>
                <w:szCs w:val="20"/>
              </w:rPr>
              <w:t>No DRX</w:t>
            </w:r>
          </w:p>
        </w:tc>
        <w:tc>
          <w:tcPr>
            <w:tcW w:w="4452" w:type="dxa"/>
            <w:tcBorders>
              <w:top w:val="single" w:color="auto" w:sz="4" w:space="0"/>
              <w:left w:val="single" w:color="auto" w:sz="4" w:space="0"/>
              <w:bottom w:val="single" w:color="auto" w:sz="4" w:space="0"/>
              <w:right w:val="single" w:color="auto" w:sz="4" w:space="0"/>
            </w:tcBorders>
          </w:tcPr>
          <w:p>
            <w:pPr>
              <w:pStyle w:val="33"/>
              <w:spacing w:line="276" w:lineRule="auto"/>
              <w:rPr>
                <w:rFonts w:ascii="Times New Roman" w:hAnsi="Times New Roman" w:cs="Times New Roman"/>
                <w:sz w:val="20"/>
                <w:szCs w:val="20"/>
                <w:lang w:eastAsia="en-US"/>
              </w:rPr>
            </w:pPr>
            <w:r>
              <w:rPr>
                <w:rFonts w:ascii="Times New Roman" w:hAnsi="Times New Roman" w:cs="Times New Roman"/>
                <w:sz w:val="20"/>
                <w:szCs w:val="20"/>
              </w:rPr>
              <w:t>max(600ms, ceil(M</w:t>
            </w:r>
            <w:r>
              <w:rPr>
                <w:rFonts w:ascii="Times New Roman" w:hAnsi="Times New Roman" w:cs="Times New Roman"/>
                <w:sz w:val="20"/>
                <w:szCs w:val="20"/>
                <w:vertAlign w:val="subscript"/>
              </w:rPr>
              <w:t>pss/sss_sync_w/o_gaps</w:t>
            </w:r>
            <w:r>
              <w:rPr>
                <w:rFonts w:ascii="Times New Roman" w:hAnsi="Times New Roman" w:cs="Times New Roman"/>
                <w:sz w:val="20"/>
                <w:szCs w:val="20"/>
              </w:rPr>
              <w:t xml:space="preserve">  x K</w:t>
            </w:r>
            <w:r>
              <w:rPr>
                <w:rFonts w:ascii="Times New Roman" w:hAnsi="Times New Roman" w:cs="Times New Roman"/>
                <w:sz w:val="20"/>
                <w:szCs w:val="20"/>
                <w:vertAlign w:val="subscript"/>
              </w:rPr>
              <w:t>p</w:t>
            </w:r>
            <w:r>
              <w:rPr>
                <w:rFonts w:ascii="Times New Roman" w:hAnsi="Times New Roman" w:cs="Times New Roman"/>
                <w:sz w:val="20"/>
                <w:szCs w:val="20"/>
              </w:rPr>
              <w:t xml:space="preserve"> x K</w:t>
            </w:r>
            <w:r>
              <w:rPr>
                <w:rFonts w:ascii="Times New Roman" w:hAnsi="Times New Roman" w:cs="Times New Roman"/>
                <w:sz w:val="20"/>
                <w:szCs w:val="20"/>
                <w:vertAlign w:val="subscript"/>
              </w:rPr>
              <w:t>layer1_measurement</w:t>
            </w:r>
            <w:r>
              <w:rPr>
                <w:rFonts w:ascii="Times New Roman" w:hAnsi="Times New Roman" w:cs="Times New Roman"/>
                <w:sz w:val="20"/>
                <w:szCs w:val="20"/>
              </w:rPr>
              <w:t>)</w:t>
            </w:r>
            <w:r>
              <w:rPr>
                <w:rFonts w:ascii="Times New Roman" w:hAnsi="Times New Roman" w:cs="Times New Roman"/>
                <w:sz w:val="20"/>
                <w:szCs w:val="20"/>
                <w:vertAlign w:val="subscript"/>
              </w:rPr>
              <w:t xml:space="preserve">  </w:t>
            </w:r>
            <w:r>
              <w:rPr>
                <w:rFonts w:ascii="Times New Roman" w:hAnsi="Times New Roman" w:cs="Times New Roman"/>
                <w:sz w:val="20"/>
                <w:szCs w:val="20"/>
              </w:rPr>
              <w:t>x SMTC period)</w:t>
            </w:r>
            <w:r>
              <w:rPr>
                <w:rFonts w:ascii="Times New Roman" w:hAnsi="Times New Roman" w:cs="Times New Roman"/>
                <w:sz w:val="20"/>
                <w:szCs w:val="20"/>
                <w:vertAlign w:val="superscript"/>
              </w:rPr>
              <w:t>Note 1</w:t>
            </w:r>
            <w:r>
              <w:rPr>
                <w:rFonts w:ascii="Times New Roman" w:hAnsi="Times New Roman" w:cs="Times New Roman"/>
                <w:sz w:val="20"/>
                <w:szCs w:val="20"/>
              </w:rPr>
              <w:t xml:space="preserve"> x CSSF</w:t>
            </w:r>
            <w:r>
              <w:rPr>
                <w:rFonts w:ascii="Times New Roman" w:hAnsi="Times New Roman" w:cs="Times New Roman"/>
                <w:sz w:val="20"/>
                <w:szCs w:val="20"/>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404" w:type="dxa"/>
            <w:tcBorders>
              <w:top w:val="single" w:color="auto" w:sz="4" w:space="0"/>
              <w:left w:val="single" w:color="auto" w:sz="4" w:space="0"/>
              <w:bottom w:val="single" w:color="auto" w:sz="4" w:space="0"/>
              <w:right w:val="single" w:color="auto" w:sz="4" w:space="0"/>
            </w:tcBorders>
          </w:tcPr>
          <w:p>
            <w:pPr>
              <w:pStyle w:val="33"/>
              <w:spacing w:line="276" w:lineRule="auto"/>
              <w:rPr>
                <w:rFonts w:ascii="Times New Roman" w:hAnsi="Times New Roman" w:cs="Times New Roman"/>
                <w:sz w:val="20"/>
                <w:szCs w:val="20"/>
                <w:lang w:eastAsia="en-US"/>
              </w:rPr>
            </w:pPr>
            <w:r>
              <w:rPr>
                <w:rFonts w:ascii="Times New Roman" w:hAnsi="Times New Roman" w:cs="Times New Roman"/>
                <w:sz w:val="20"/>
                <w:szCs w:val="20"/>
              </w:rPr>
              <w:t>DRX cycle≤ 320ms</w:t>
            </w:r>
          </w:p>
        </w:tc>
        <w:tc>
          <w:tcPr>
            <w:tcW w:w="4452" w:type="dxa"/>
            <w:tcBorders>
              <w:top w:val="single" w:color="auto" w:sz="4" w:space="0"/>
              <w:left w:val="single" w:color="auto" w:sz="4" w:space="0"/>
              <w:bottom w:val="single" w:color="auto" w:sz="4" w:space="0"/>
              <w:right w:val="single" w:color="auto" w:sz="4" w:space="0"/>
            </w:tcBorders>
          </w:tcPr>
          <w:p>
            <w:pPr>
              <w:pStyle w:val="33"/>
              <w:spacing w:line="276" w:lineRule="auto"/>
              <w:rPr>
                <w:rFonts w:ascii="Times New Roman" w:hAnsi="Times New Roman" w:cs="Times New Roman"/>
                <w:b/>
                <w:sz w:val="20"/>
                <w:szCs w:val="20"/>
                <w:lang w:eastAsia="en-US"/>
              </w:rPr>
            </w:pPr>
            <w:r>
              <w:rPr>
                <w:rFonts w:ascii="Times New Roman" w:hAnsi="Times New Roman" w:cs="Times New Roman"/>
                <w:sz w:val="20"/>
                <w:szCs w:val="20"/>
              </w:rPr>
              <w:t>max(600ms, ceil(1.5 x M</w:t>
            </w:r>
            <w:r>
              <w:rPr>
                <w:rFonts w:ascii="Times New Roman" w:hAnsi="Times New Roman" w:cs="Times New Roman"/>
                <w:sz w:val="20"/>
                <w:szCs w:val="20"/>
                <w:vertAlign w:val="subscript"/>
              </w:rPr>
              <w:t>pss/sss_sync_w/o_gaps</w:t>
            </w:r>
            <w:r>
              <w:rPr>
                <w:rFonts w:ascii="Times New Roman" w:hAnsi="Times New Roman" w:cs="Times New Roman"/>
                <w:sz w:val="20"/>
                <w:szCs w:val="20"/>
              </w:rPr>
              <w:t xml:space="preserve">  x K</w:t>
            </w:r>
            <w:r>
              <w:rPr>
                <w:rFonts w:ascii="Times New Roman" w:hAnsi="Times New Roman" w:cs="Times New Roman"/>
                <w:sz w:val="20"/>
                <w:szCs w:val="20"/>
                <w:vertAlign w:val="subscript"/>
              </w:rPr>
              <w:t>p</w:t>
            </w:r>
            <w:r>
              <w:rPr>
                <w:rFonts w:ascii="Times New Roman" w:hAnsi="Times New Roman" w:cs="Times New Roman"/>
                <w:sz w:val="20"/>
                <w:szCs w:val="20"/>
              </w:rPr>
              <w:t xml:space="preserve"> x K</w:t>
            </w:r>
            <w:r>
              <w:rPr>
                <w:rFonts w:ascii="Times New Roman" w:hAnsi="Times New Roman" w:cs="Times New Roman"/>
                <w:sz w:val="20"/>
                <w:szCs w:val="20"/>
                <w:vertAlign w:val="subscript"/>
              </w:rPr>
              <w:t>layer1_measurement</w:t>
            </w:r>
            <w:r>
              <w:rPr>
                <w:rFonts w:ascii="Times New Roman" w:hAnsi="Times New Roman" w:cs="Times New Roman"/>
                <w:sz w:val="20"/>
                <w:szCs w:val="20"/>
              </w:rPr>
              <w:t>)</w:t>
            </w:r>
            <w:r>
              <w:rPr>
                <w:rFonts w:ascii="Times New Roman" w:hAnsi="Times New Roman" w:cs="Times New Roman"/>
                <w:sz w:val="20"/>
                <w:szCs w:val="20"/>
                <w:vertAlign w:val="subscript"/>
              </w:rPr>
              <w:t xml:space="preserve"> </w:t>
            </w:r>
            <w:r>
              <w:rPr>
                <w:rFonts w:ascii="Times New Roman" w:hAnsi="Times New Roman" w:cs="Times New Roman"/>
                <w:sz w:val="20"/>
                <w:szCs w:val="20"/>
              </w:rPr>
              <w:t>x max(SMTC period,DRX cycle)) x CSSF</w:t>
            </w:r>
            <w:r>
              <w:rPr>
                <w:rFonts w:ascii="Times New Roman" w:hAnsi="Times New Roman" w:cs="Times New Roman"/>
                <w:sz w:val="20"/>
                <w:szCs w:val="20"/>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4" w:type="dxa"/>
            <w:tcBorders>
              <w:top w:val="single" w:color="auto" w:sz="4" w:space="0"/>
              <w:left w:val="single" w:color="auto" w:sz="4" w:space="0"/>
              <w:bottom w:val="single" w:color="auto" w:sz="4" w:space="0"/>
              <w:right w:val="single" w:color="auto" w:sz="4" w:space="0"/>
            </w:tcBorders>
          </w:tcPr>
          <w:p>
            <w:pPr>
              <w:pStyle w:val="33"/>
              <w:spacing w:line="276" w:lineRule="auto"/>
              <w:rPr>
                <w:rFonts w:ascii="Times New Roman" w:hAnsi="Times New Roman" w:cs="Times New Roman"/>
                <w:b/>
                <w:sz w:val="20"/>
                <w:szCs w:val="20"/>
                <w:lang w:eastAsia="en-US"/>
              </w:rPr>
            </w:pPr>
            <w:r>
              <w:rPr>
                <w:rFonts w:ascii="Times New Roman" w:hAnsi="Times New Roman" w:cs="Times New Roman"/>
                <w:sz w:val="20"/>
                <w:szCs w:val="20"/>
              </w:rPr>
              <w:t>DRX cycle&gt;320ms</w:t>
            </w:r>
          </w:p>
        </w:tc>
        <w:tc>
          <w:tcPr>
            <w:tcW w:w="4452" w:type="dxa"/>
            <w:tcBorders>
              <w:top w:val="single" w:color="auto" w:sz="4" w:space="0"/>
              <w:left w:val="single" w:color="auto" w:sz="4" w:space="0"/>
              <w:bottom w:val="single" w:color="auto" w:sz="4" w:space="0"/>
              <w:right w:val="single" w:color="auto" w:sz="4" w:space="0"/>
            </w:tcBorders>
          </w:tcPr>
          <w:p>
            <w:pPr>
              <w:pStyle w:val="33"/>
              <w:spacing w:line="276" w:lineRule="auto"/>
              <w:rPr>
                <w:rFonts w:ascii="Times New Roman" w:hAnsi="Times New Roman" w:cs="Times New Roman"/>
                <w:b/>
                <w:sz w:val="20"/>
                <w:szCs w:val="20"/>
                <w:lang w:eastAsia="en-US"/>
              </w:rPr>
            </w:pPr>
            <w:r>
              <w:rPr>
                <w:rFonts w:ascii="Times New Roman" w:hAnsi="Times New Roman" w:cs="Times New Roman"/>
                <w:sz w:val="20"/>
                <w:szCs w:val="20"/>
              </w:rPr>
              <w:t>ceil(M</w:t>
            </w:r>
            <w:r>
              <w:rPr>
                <w:rFonts w:ascii="Times New Roman" w:hAnsi="Times New Roman" w:cs="Times New Roman"/>
                <w:sz w:val="20"/>
                <w:szCs w:val="20"/>
                <w:vertAlign w:val="subscript"/>
              </w:rPr>
              <w:t>pss/sss_sync_w/o_gaps</w:t>
            </w:r>
            <w:r>
              <w:rPr>
                <w:rFonts w:ascii="Times New Roman" w:hAnsi="Times New Roman" w:cs="Times New Roman"/>
                <w:sz w:val="20"/>
                <w:szCs w:val="20"/>
              </w:rPr>
              <w:t xml:space="preserve">  x K</w:t>
            </w:r>
            <w:r>
              <w:rPr>
                <w:rFonts w:ascii="Times New Roman" w:hAnsi="Times New Roman" w:cs="Times New Roman"/>
                <w:sz w:val="20"/>
                <w:szCs w:val="20"/>
                <w:vertAlign w:val="subscript"/>
              </w:rPr>
              <w:t>p</w:t>
            </w:r>
            <w:r>
              <w:rPr>
                <w:rFonts w:ascii="Times New Roman" w:hAnsi="Times New Roman" w:cs="Times New Roman"/>
                <w:sz w:val="20"/>
                <w:szCs w:val="20"/>
              </w:rPr>
              <w:t xml:space="preserve"> x K</w:t>
            </w:r>
            <w:r>
              <w:rPr>
                <w:rFonts w:ascii="Times New Roman" w:hAnsi="Times New Roman" w:cs="Times New Roman"/>
                <w:sz w:val="20"/>
                <w:szCs w:val="20"/>
                <w:vertAlign w:val="subscript"/>
              </w:rPr>
              <w:t>layer1_measurement</w:t>
            </w:r>
            <w:r>
              <w:rPr>
                <w:rFonts w:ascii="Times New Roman" w:hAnsi="Times New Roman" w:cs="Times New Roman"/>
                <w:sz w:val="20"/>
                <w:szCs w:val="20"/>
              </w:rPr>
              <w:t xml:space="preserve">) </w:t>
            </w:r>
            <w:r>
              <w:rPr>
                <w:rFonts w:ascii="Times New Roman" w:hAnsi="Times New Roman" w:cs="Times New Roman"/>
                <w:sz w:val="20"/>
                <w:szCs w:val="20"/>
                <w:vertAlign w:val="subscript"/>
              </w:rPr>
              <w:t xml:space="preserve"> </w:t>
            </w:r>
            <w:r>
              <w:rPr>
                <w:rFonts w:ascii="Times New Roman" w:hAnsi="Times New Roman" w:cs="Times New Roman"/>
                <w:sz w:val="20"/>
                <w:szCs w:val="20"/>
              </w:rPr>
              <w:t>x DRX cycle x CSSF</w:t>
            </w:r>
            <w:r>
              <w:rPr>
                <w:rFonts w:ascii="Times New Roman" w:hAnsi="Times New Roman" w:cs="Times New Roman"/>
                <w:sz w:val="20"/>
                <w:szCs w:val="20"/>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6" w:type="dxa"/>
            <w:gridSpan w:val="2"/>
            <w:tcBorders>
              <w:top w:val="single" w:color="auto" w:sz="4" w:space="0"/>
              <w:left w:val="single" w:color="auto" w:sz="4" w:space="0"/>
              <w:bottom w:val="single" w:color="auto" w:sz="4" w:space="0"/>
              <w:right w:val="single" w:color="auto" w:sz="4" w:space="0"/>
            </w:tcBorders>
          </w:tcPr>
          <w:p>
            <w:pPr>
              <w:pStyle w:val="51"/>
              <w:spacing w:line="276" w:lineRule="auto"/>
              <w:rPr>
                <w:rFonts w:ascii="Times New Roman" w:hAnsi="Times New Roman" w:cs="Times New Roman"/>
                <w:i/>
                <w:sz w:val="20"/>
                <w:szCs w:val="20"/>
                <w:lang w:eastAsia="en-US"/>
              </w:rPr>
            </w:pPr>
            <w:r>
              <w:rPr>
                <w:rFonts w:ascii="Times New Roman" w:hAnsi="Times New Roman" w:cs="Times New Roman"/>
                <w:sz w:val="20"/>
                <w:szCs w:val="20"/>
              </w:rPr>
              <w:t>NOTE 1:</w:t>
            </w:r>
            <w:r>
              <w:rPr>
                <w:rFonts w:ascii="Times New Roman" w:hAnsi="Times New Roman" w:cs="Times New Roman"/>
                <w:sz w:val="20"/>
                <w:szCs w:val="20"/>
              </w:rPr>
              <w:tab/>
            </w:r>
            <w:r>
              <w:rPr>
                <w:rFonts w:ascii="Times New Roman" w:hAnsi="Times New Roman" w:cs="Times New Roman"/>
                <w:sz w:val="20"/>
                <w:szCs w:val="20"/>
              </w:rPr>
              <w:t>If different SMTC periodicities are configured for different cells, the SMTC period in the requirement is the one used by the cell being identified</w:t>
            </w:r>
          </w:p>
        </w:tc>
      </w:tr>
    </w:tbl>
    <w:p>
      <w:pPr>
        <w:pStyle w:val="35"/>
        <w:rPr>
          <w:rFonts w:ascii="Times New Roman" w:hAnsi="Times New Roman" w:cs="Times New Roman"/>
          <w:sz w:val="20"/>
          <w:szCs w:val="20"/>
          <w:lang w:val="en-US" w:eastAsia="en-US"/>
        </w:rPr>
      </w:pPr>
      <w:r>
        <w:rPr>
          <w:rFonts w:ascii="Times New Roman" w:hAnsi="Times New Roman" w:cs="Times New Roman"/>
          <w:sz w:val="20"/>
          <w:szCs w:val="20"/>
        </w:rPr>
        <w:t>Table 9.2.5.2-2: Measurement period for intra-frequency measurements without gaps(FR2)</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2"/>
              <w:spacing w:line="276" w:lineRule="auto"/>
              <w:rPr>
                <w:rFonts w:ascii="Times New Roman" w:hAnsi="Times New Roman" w:cs="Times New Roman"/>
                <w:sz w:val="20"/>
                <w:szCs w:val="20"/>
                <w:lang w:eastAsia="en-US"/>
              </w:rPr>
            </w:pPr>
            <w:r>
              <w:rPr>
                <w:rFonts w:ascii="Times New Roman" w:hAnsi="Times New Roman" w:cs="Times New Roman"/>
                <w:sz w:val="20"/>
                <w:szCs w:val="20"/>
              </w:rPr>
              <w:t>DRX cycle</w:t>
            </w:r>
          </w:p>
        </w:tc>
        <w:tc>
          <w:tcPr>
            <w:tcW w:w="4621" w:type="dxa"/>
            <w:tcBorders>
              <w:top w:val="single" w:color="auto" w:sz="4" w:space="0"/>
              <w:left w:val="single" w:color="auto" w:sz="4" w:space="0"/>
              <w:bottom w:val="single" w:color="auto" w:sz="4" w:space="0"/>
              <w:right w:val="single" w:color="auto" w:sz="4" w:space="0"/>
            </w:tcBorders>
          </w:tcPr>
          <w:p>
            <w:pPr>
              <w:pStyle w:val="32"/>
              <w:spacing w:line="276" w:lineRule="auto"/>
              <w:rPr>
                <w:rFonts w:ascii="Times New Roman" w:hAnsi="Times New Roman" w:cs="Times New Roman"/>
                <w:sz w:val="20"/>
                <w:szCs w:val="20"/>
                <w:lang w:eastAsia="en-US"/>
              </w:rPr>
            </w:pPr>
            <w:r>
              <w:rPr>
                <w:rFonts w:ascii="Times New Roman" w:hAnsi="Times New Roman" w:cs="Times New Roman"/>
                <w:sz w:val="20"/>
                <w:szCs w:val="20"/>
              </w:rPr>
              <w:t>T</w:t>
            </w:r>
            <w:r>
              <w:rPr>
                <w:rFonts w:ascii="Times New Roman" w:hAnsi="Times New Roman" w:cs="Times New Roman"/>
                <w:sz w:val="20"/>
                <w:szCs w:val="20"/>
                <w:vertAlign w:val="subscript"/>
              </w:rPr>
              <w:t xml:space="preserve"> SSB_measurement_period_intra</w:t>
            </w:r>
            <w:r>
              <w:rPr>
                <w:rFonts w:ascii="Times New Roman" w:hAnsi="Times New Roman" w:cs="Times New Roman"/>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3"/>
              <w:spacing w:line="276" w:lineRule="auto"/>
              <w:rPr>
                <w:rFonts w:ascii="Times New Roman" w:hAnsi="Times New Roman" w:cs="Times New Roman"/>
                <w:sz w:val="20"/>
                <w:szCs w:val="20"/>
                <w:lang w:eastAsia="en-US"/>
              </w:rPr>
            </w:pPr>
            <w:r>
              <w:rPr>
                <w:rFonts w:ascii="Times New Roman" w:hAnsi="Times New Roman" w:cs="Times New Roman"/>
                <w:sz w:val="20"/>
                <w:szCs w:val="20"/>
              </w:rPr>
              <w:t>No DRX</w:t>
            </w:r>
          </w:p>
        </w:tc>
        <w:tc>
          <w:tcPr>
            <w:tcW w:w="4621" w:type="dxa"/>
            <w:tcBorders>
              <w:top w:val="single" w:color="auto" w:sz="4" w:space="0"/>
              <w:left w:val="single" w:color="auto" w:sz="4" w:space="0"/>
              <w:bottom w:val="single" w:color="auto" w:sz="4" w:space="0"/>
              <w:right w:val="single" w:color="auto" w:sz="4" w:space="0"/>
            </w:tcBorders>
          </w:tcPr>
          <w:p>
            <w:pPr>
              <w:pStyle w:val="33"/>
              <w:spacing w:line="276" w:lineRule="auto"/>
              <w:rPr>
                <w:rFonts w:ascii="Times New Roman" w:hAnsi="Times New Roman" w:cs="Times New Roman"/>
                <w:sz w:val="20"/>
                <w:szCs w:val="20"/>
                <w:lang w:eastAsia="en-US"/>
              </w:rPr>
            </w:pPr>
            <w:r>
              <w:rPr>
                <w:rFonts w:ascii="Times New Roman" w:hAnsi="Times New Roman" w:cs="Times New Roman"/>
                <w:sz w:val="20"/>
                <w:szCs w:val="20"/>
              </w:rPr>
              <w:t>max(400ms, ceil(M</w:t>
            </w:r>
            <w:r>
              <w:rPr>
                <w:rFonts w:ascii="Times New Roman" w:hAnsi="Times New Roman" w:cs="Times New Roman"/>
                <w:sz w:val="20"/>
                <w:szCs w:val="20"/>
                <w:vertAlign w:val="subscript"/>
              </w:rPr>
              <w:t>meas_period_w/o_gaps</w:t>
            </w:r>
            <w:r>
              <w:rPr>
                <w:rFonts w:ascii="Times New Roman" w:hAnsi="Times New Roman" w:cs="Times New Roman"/>
                <w:sz w:val="20"/>
                <w:szCs w:val="20"/>
              </w:rPr>
              <w:t xml:space="preserve"> x K</w:t>
            </w:r>
            <w:r>
              <w:rPr>
                <w:rFonts w:ascii="Times New Roman" w:hAnsi="Times New Roman" w:cs="Times New Roman"/>
                <w:sz w:val="20"/>
                <w:szCs w:val="20"/>
                <w:vertAlign w:val="subscript"/>
              </w:rPr>
              <w:t>p</w:t>
            </w:r>
            <w:r>
              <w:rPr>
                <w:rFonts w:ascii="Times New Roman" w:hAnsi="Times New Roman" w:cs="Times New Roman"/>
                <w:sz w:val="20"/>
                <w:szCs w:val="20"/>
              </w:rPr>
              <w:t xml:space="preserve"> x K</w:t>
            </w:r>
            <w:r>
              <w:rPr>
                <w:rFonts w:ascii="Times New Roman" w:hAnsi="Times New Roman" w:cs="Times New Roman"/>
                <w:sz w:val="20"/>
                <w:szCs w:val="20"/>
                <w:vertAlign w:val="subscript"/>
              </w:rPr>
              <w:t>layer1_measurement</w:t>
            </w:r>
            <w:r>
              <w:rPr>
                <w:rFonts w:ascii="Times New Roman" w:hAnsi="Times New Roman" w:cs="Times New Roman"/>
                <w:sz w:val="20"/>
                <w:szCs w:val="20"/>
              </w:rPr>
              <w:t>) x SMTC period)</w:t>
            </w:r>
            <w:r>
              <w:rPr>
                <w:rFonts w:ascii="Times New Roman" w:hAnsi="Times New Roman" w:cs="Times New Roman"/>
                <w:sz w:val="20"/>
                <w:szCs w:val="20"/>
                <w:vertAlign w:val="superscript"/>
              </w:rPr>
              <w:t>Note 1</w:t>
            </w:r>
            <w:r>
              <w:rPr>
                <w:rFonts w:ascii="Times New Roman" w:hAnsi="Times New Roman" w:cs="Times New Roman"/>
                <w:sz w:val="20"/>
                <w:szCs w:val="20"/>
              </w:rPr>
              <w:t xml:space="preserve"> x CSSF</w:t>
            </w:r>
            <w:r>
              <w:rPr>
                <w:rFonts w:ascii="Times New Roman" w:hAnsi="Times New Roman" w:cs="Times New Roman"/>
                <w:sz w:val="20"/>
                <w:szCs w:val="20"/>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3"/>
              <w:spacing w:line="276" w:lineRule="auto"/>
              <w:rPr>
                <w:rFonts w:ascii="Times New Roman" w:hAnsi="Times New Roman" w:cs="Times New Roman"/>
                <w:sz w:val="20"/>
                <w:szCs w:val="20"/>
                <w:lang w:eastAsia="en-US"/>
              </w:rPr>
            </w:pPr>
            <w:r>
              <w:rPr>
                <w:rFonts w:ascii="Times New Roman" w:hAnsi="Times New Roman" w:cs="Times New Roman"/>
                <w:sz w:val="20"/>
                <w:szCs w:val="20"/>
              </w:rPr>
              <w:t>DRX cycle≤ 320ms</w:t>
            </w:r>
          </w:p>
        </w:tc>
        <w:tc>
          <w:tcPr>
            <w:tcW w:w="4621" w:type="dxa"/>
            <w:tcBorders>
              <w:top w:val="single" w:color="auto" w:sz="4" w:space="0"/>
              <w:left w:val="single" w:color="auto" w:sz="4" w:space="0"/>
              <w:bottom w:val="single" w:color="auto" w:sz="4" w:space="0"/>
              <w:right w:val="single" w:color="auto" w:sz="4" w:space="0"/>
            </w:tcBorders>
          </w:tcPr>
          <w:p>
            <w:pPr>
              <w:pStyle w:val="33"/>
              <w:spacing w:line="276" w:lineRule="auto"/>
              <w:rPr>
                <w:rFonts w:ascii="Times New Roman" w:hAnsi="Times New Roman" w:cs="Times New Roman"/>
                <w:b/>
                <w:sz w:val="20"/>
                <w:szCs w:val="20"/>
                <w:lang w:eastAsia="en-US"/>
              </w:rPr>
            </w:pPr>
            <w:r>
              <w:rPr>
                <w:rFonts w:ascii="Times New Roman" w:hAnsi="Times New Roman" w:cs="Times New Roman"/>
                <w:sz w:val="20"/>
                <w:szCs w:val="20"/>
              </w:rPr>
              <w:t>max(400ms, ceil(1.5x M</w:t>
            </w:r>
            <w:r>
              <w:rPr>
                <w:rFonts w:ascii="Times New Roman" w:hAnsi="Times New Roman" w:cs="Times New Roman"/>
                <w:sz w:val="20"/>
                <w:szCs w:val="20"/>
                <w:vertAlign w:val="subscript"/>
              </w:rPr>
              <w:t>meas_period_w/o_gaps</w:t>
            </w:r>
            <w:r>
              <w:rPr>
                <w:rFonts w:ascii="Times New Roman" w:hAnsi="Times New Roman" w:cs="Times New Roman"/>
                <w:sz w:val="20"/>
                <w:szCs w:val="20"/>
              </w:rPr>
              <w:t xml:space="preserve"> x K</w:t>
            </w:r>
            <w:r>
              <w:rPr>
                <w:rFonts w:ascii="Times New Roman" w:hAnsi="Times New Roman" w:cs="Times New Roman"/>
                <w:sz w:val="20"/>
                <w:szCs w:val="20"/>
                <w:vertAlign w:val="subscript"/>
              </w:rPr>
              <w:t>p</w:t>
            </w:r>
            <w:r>
              <w:rPr>
                <w:rFonts w:ascii="Times New Roman" w:hAnsi="Times New Roman" w:cs="Times New Roman"/>
                <w:sz w:val="20"/>
                <w:szCs w:val="20"/>
              </w:rPr>
              <w:t xml:space="preserve"> x K</w:t>
            </w:r>
            <w:r>
              <w:rPr>
                <w:rFonts w:ascii="Times New Roman" w:hAnsi="Times New Roman" w:cs="Times New Roman"/>
                <w:sz w:val="20"/>
                <w:szCs w:val="20"/>
                <w:vertAlign w:val="subscript"/>
              </w:rPr>
              <w:t>layer1_measurement</w:t>
            </w:r>
            <w:r>
              <w:rPr>
                <w:rFonts w:ascii="Times New Roman" w:hAnsi="Times New Roman" w:cs="Times New Roman"/>
                <w:sz w:val="20"/>
                <w:szCs w:val="20"/>
              </w:rPr>
              <w:t>) x max(SMTC period,DRX cycle)) x CSSF</w:t>
            </w:r>
            <w:r>
              <w:rPr>
                <w:rFonts w:ascii="Times New Roman" w:hAnsi="Times New Roman" w:cs="Times New Roman"/>
                <w:sz w:val="20"/>
                <w:szCs w:val="20"/>
                <w:vertAlign w:val="subscript"/>
              </w:rPr>
              <w:t>intra</w:t>
            </w:r>
            <w:r>
              <w:rPr>
                <w:rFonts w:ascii="Times New Roman" w:hAnsi="Times New Roman" w:cs="Times New Roman"/>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3"/>
              <w:spacing w:line="276" w:lineRule="auto"/>
              <w:rPr>
                <w:rFonts w:ascii="Times New Roman" w:hAnsi="Times New Roman" w:cs="Times New Roman"/>
                <w:b/>
                <w:sz w:val="20"/>
                <w:szCs w:val="20"/>
                <w:lang w:eastAsia="en-US"/>
              </w:rPr>
            </w:pPr>
            <w:r>
              <w:rPr>
                <w:rFonts w:ascii="Times New Roman" w:hAnsi="Times New Roman" w:cs="Times New Roman"/>
                <w:sz w:val="20"/>
                <w:szCs w:val="20"/>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33"/>
              <w:spacing w:line="276" w:lineRule="auto"/>
              <w:rPr>
                <w:rFonts w:ascii="Times New Roman" w:hAnsi="Times New Roman" w:cs="Times New Roman"/>
                <w:b/>
                <w:sz w:val="20"/>
                <w:szCs w:val="20"/>
                <w:lang w:eastAsia="en-US"/>
              </w:rPr>
            </w:pPr>
            <w:r>
              <w:rPr>
                <w:rFonts w:ascii="Times New Roman" w:hAnsi="Times New Roman" w:cs="Times New Roman"/>
                <w:sz w:val="20"/>
                <w:szCs w:val="20"/>
              </w:rPr>
              <w:t>ceil(M</w:t>
            </w:r>
            <w:r>
              <w:rPr>
                <w:rFonts w:ascii="Times New Roman" w:hAnsi="Times New Roman" w:cs="Times New Roman"/>
                <w:sz w:val="20"/>
                <w:szCs w:val="20"/>
                <w:vertAlign w:val="subscript"/>
              </w:rPr>
              <w:t>meas_period_w/o_gaps</w:t>
            </w:r>
            <w:r>
              <w:rPr>
                <w:rFonts w:ascii="Times New Roman" w:hAnsi="Times New Roman" w:cs="Times New Roman"/>
                <w:sz w:val="20"/>
                <w:szCs w:val="20"/>
              </w:rPr>
              <w:t xml:space="preserve"> xK</w:t>
            </w:r>
            <w:r>
              <w:rPr>
                <w:rFonts w:ascii="Times New Roman" w:hAnsi="Times New Roman" w:cs="Times New Roman"/>
                <w:sz w:val="20"/>
                <w:szCs w:val="20"/>
                <w:vertAlign w:val="subscript"/>
              </w:rPr>
              <w:t>p</w:t>
            </w:r>
            <w:r>
              <w:rPr>
                <w:rFonts w:ascii="Times New Roman" w:hAnsi="Times New Roman" w:cs="Times New Roman"/>
                <w:sz w:val="20"/>
                <w:szCs w:val="20"/>
              </w:rPr>
              <w:t xml:space="preserve"> x K</w:t>
            </w:r>
            <w:r>
              <w:rPr>
                <w:rFonts w:ascii="Times New Roman" w:hAnsi="Times New Roman" w:cs="Times New Roman"/>
                <w:sz w:val="20"/>
                <w:szCs w:val="20"/>
                <w:vertAlign w:val="subscript"/>
              </w:rPr>
              <w:t>layer1_measurement</w:t>
            </w:r>
            <w:r>
              <w:rPr>
                <w:rFonts w:ascii="Times New Roman" w:hAnsi="Times New Roman" w:cs="Times New Roman"/>
                <w:sz w:val="20"/>
                <w:szCs w:val="20"/>
              </w:rPr>
              <w:t xml:space="preserve"> ) x DRX cycle x CSSF</w:t>
            </w:r>
            <w:r>
              <w:rPr>
                <w:rFonts w:ascii="Times New Roman" w:hAnsi="Times New Roman" w:cs="Times New Roman"/>
                <w:sz w:val="20"/>
                <w:szCs w:val="20"/>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51"/>
              <w:spacing w:line="276" w:lineRule="auto"/>
              <w:rPr>
                <w:rFonts w:ascii="Times New Roman" w:hAnsi="Times New Roman" w:cs="Times New Roman"/>
                <w:sz w:val="20"/>
                <w:szCs w:val="20"/>
                <w:lang w:eastAsia="en-US"/>
              </w:rPr>
            </w:pPr>
            <w:r>
              <w:rPr>
                <w:rFonts w:ascii="Times New Roman" w:hAnsi="Times New Roman" w:cs="Times New Roman"/>
                <w:sz w:val="20"/>
                <w:szCs w:val="20"/>
              </w:rPr>
              <w:t>NOTE 1:</w:t>
            </w:r>
            <w:r>
              <w:rPr>
                <w:rFonts w:ascii="Times New Roman" w:hAnsi="Times New Roman" w:cs="Times New Roman"/>
                <w:sz w:val="20"/>
                <w:szCs w:val="20"/>
              </w:rPr>
              <w:tab/>
            </w:r>
            <w:r>
              <w:rPr>
                <w:rFonts w:ascii="Times New Roman" w:hAnsi="Times New Roman" w:cs="Times New Roman"/>
                <w:sz w:val="20"/>
                <w:szCs w:val="20"/>
              </w:rPr>
              <w:t>If different SMTC periodicities are configured for different cells, the SMTC period in the requirement is the one used by the cell being identified</w:t>
            </w:r>
          </w:p>
        </w:tc>
      </w:tr>
    </w:tbl>
    <w:p>
      <w:pPr>
        <w:pStyle w:val="27"/>
        <w:numPr>
          <w:ilvl w:val="0"/>
          <w:numId w:val="0"/>
        </w:numPr>
        <w:tabs>
          <w:tab w:val="left" w:pos="1276"/>
        </w:tabs>
        <w:jc w:val="both"/>
        <w:rPr>
          <w:rFonts w:hint="eastAsia"/>
          <w:bCs/>
          <w:sz w:val="20"/>
          <w:szCs w:val="20"/>
          <w:lang w:val="en-US" w:eastAsia="zh-CN"/>
        </w:rPr>
      </w:pPr>
      <w:r>
        <w:rPr>
          <w:rFonts w:hint="eastAsia" w:ascii="Times New Roman" w:hAnsi="Times New Roman" w:eastAsia="MS Mincho" w:cs="Times New Roman"/>
          <w:kern w:val="0"/>
          <w:sz w:val="20"/>
          <w:szCs w:val="24"/>
          <w:lang w:val="en-US" w:eastAsia="zh-CN" w:bidi="ar-SA"/>
        </w:rPr>
        <w:t>If we suppose</w:t>
      </w:r>
      <w:r>
        <w:rPr>
          <w:rFonts w:hint="eastAsia"/>
          <w:lang w:val="en-US" w:eastAsia="zh-CN"/>
        </w:rPr>
        <w:t xml:space="preserve"> </w:t>
      </w:r>
      <w:r>
        <w:rPr>
          <w:bCs/>
          <w:sz w:val="20"/>
          <w:szCs w:val="20"/>
        </w:rPr>
        <w:t>K</w:t>
      </w:r>
      <w:r>
        <w:rPr>
          <w:bCs/>
          <w:sz w:val="20"/>
          <w:szCs w:val="20"/>
          <w:vertAlign w:val="subscript"/>
        </w:rPr>
        <w:t>p</w:t>
      </w:r>
      <w:r>
        <w:rPr>
          <w:bCs/>
          <w:sz w:val="20"/>
          <w:szCs w:val="20"/>
        </w:rPr>
        <w:t xml:space="preserve"> = K</w:t>
      </w:r>
      <w:r>
        <w:rPr>
          <w:bCs/>
          <w:sz w:val="20"/>
          <w:szCs w:val="20"/>
          <w:vertAlign w:val="subscript"/>
        </w:rPr>
        <w:t>layer1_measurement</w:t>
      </w:r>
      <w:r>
        <w:rPr>
          <w:rFonts w:hint="eastAsia" w:ascii="Times New Roman" w:hAnsi="Times New Roman" w:eastAsia="MS Mincho" w:cs="Times New Roman"/>
          <w:kern w:val="0"/>
          <w:sz w:val="20"/>
          <w:szCs w:val="24"/>
          <w:lang w:val="en-US" w:eastAsia="zh-CN" w:bidi="ar-SA"/>
        </w:rPr>
        <w:t xml:space="preserve"> = 1, </w:t>
      </w:r>
      <w:r>
        <w:rPr>
          <w:bCs/>
          <w:sz w:val="20"/>
          <w:szCs w:val="20"/>
        </w:rPr>
        <w:t>CSSF</w:t>
      </w:r>
      <w:r>
        <w:rPr>
          <w:bCs/>
          <w:sz w:val="20"/>
          <w:szCs w:val="20"/>
          <w:vertAlign w:val="subscript"/>
        </w:rPr>
        <w:t>intra</w:t>
      </w:r>
      <w:r>
        <w:rPr>
          <w:bCs/>
          <w:sz w:val="20"/>
          <w:szCs w:val="20"/>
        </w:rPr>
        <w:t xml:space="preserve"> </w:t>
      </w:r>
      <w:r>
        <w:rPr>
          <w:rFonts w:hint="eastAsia" w:ascii="Times New Roman" w:hAnsi="Times New Roman" w:eastAsia="MS Mincho" w:cs="Times New Roman"/>
          <w:kern w:val="0"/>
          <w:sz w:val="20"/>
          <w:szCs w:val="24"/>
          <w:lang w:val="en-US" w:eastAsia="zh-CN" w:bidi="ar-SA"/>
        </w:rPr>
        <w:t xml:space="preserve">= 1, then </w:t>
      </w:r>
      <w:r>
        <w:rPr>
          <w:rFonts w:ascii="Times New Roman" w:hAnsi="Times New Roman" w:cs="Times New Roman"/>
          <w:sz w:val="20"/>
          <w:szCs w:val="20"/>
        </w:rPr>
        <w:t>T</w:t>
      </w:r>
      <w:r>
        <w:rPr>
          <w:rFonts w:ascii="Times New Roman" w:hAnsi="Times New Roman" w:cs="Times New Roman"/>
          <w:sz w:val="20"/>
          <w:szCs w:val="20"/>
          <w:vertAlign w:val="subscript"/>
        </w:rPr>
        <w:t>PSS/SSS_sync_intra</w:t>
      </w:r>
      <w:r>
        <w:rPr>
          <w:rFonts w:hint="eastAsia" w:ascii="Times New Roman" w:hAnsi="Times New Roman" w:eastAsia="MS Mincho" w:cs="Times New Roman"/>
          <w:szCs w:val="24"/>
          <w:lang w:val="en-US" w:eastAsia="zh-CN" w:bidi="ar-SA"/>
        </w:rPr>
        <w:t xml:space="preserve">, </w:t>
      </w:r>
      <w:r>
        <w:rPr>
          <w:rFonts w:ascii="Times New Roman" w:hAnsi="Times New Roman" w:cs="Times New Roman"/>
          <w:sz w:val="20"/>
          <w:szCs w:val="20"/>
        </w:rPr>
        <w:t>T</w:t>
      </w:r>
      <w:r>
        <w:rPr>
          <w:rFonts w:ascii="Times New Roman" w:hAnsi="Times New Roman" w:cs="Times New Roman"/>
          <w:sz w:val="20"/>
          <w:szCs w:val="20"/>
          <w:vertAlign w:val="subscript"/>
        </w:rPr>
        <w:t>SSB_measurement_period_intra</w:t>
      </w:r>
      <w:r>
        <w:rPr>
          <w:rFonts w:hint="eastAsia" w:ascii="Times New Roman" w:hAnsi="Times New Roman" w:cs="Times New Roman"/>
          <w:sz w:val="20"/>
          <w:szCs w:val="20"/>
          <w:vertAlign w:val="subscript"/>
          <w:lang w:val="en-US" w:eastAsia="zh-CN"/>
        </w:rPr>
        <w:t xml:space="preserve"> </w:t>
      </w:r>
      <w:r>
        <w:rPr>
          <w:rFonts w:hint="eastAsia" w:ascii="Times New Roman" w:hAnsi="Times New Roman" w:eastAsia="MS Mincho" w:cs="Times New Roman"/>
          <w:kern w:val="0"/>
          <w:sz w:val="20"/>
          <w:szCs w:val="24"/>
          <w:lang w:val="en-US" w:eastAsia="zh-CN" w:bidi="ar-SA"/>
        </w:rPr>
        <w:t>are both closely related with SMTC. Take the smallest delay case, i.e. No DRX as an example, the analysis are given.</w:t>
      </w:r>
    </w:p>
    <w:p>
      <w:pPr>
        <w:jc w:val="both"/>
        <w:rPr>
          <w:rFonts w:hint="default" w:eastAsia="宋体"/>
          <w:lang w:val="en-US" w:eastAsia="zh-CN"/>
        </w:rPr>
      </w:pPr>
      <w:r>
        <w:rPr>
          <w:rFonts w:hint="eastAsia" w:ascii="Times New Roman" w:hAnsi="Times New Roman" w:eastAsia="MS Mincho" w:cs="Times New Roman"/>
          <w:kern w:val="0"/>
          <w:sz w:val="20"/>
          <w:szCs w:val="24"/>
          <w:lang w:val="en-US" w:eastAsia="zh-CN" w:bidi="ar-SA"/>
        </w:rPr>
        <w:t xml:space="preserve">When supposing SMTC=40ms, considering </w:t>
      </w: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r>
        <w:rPr>
          <w:rFonts w:hint="eastAsia" w:eastAsia="宋体"/>
          <w:lang w:val="en-US" w:eastAsia="zh-CN"/>
        </w:rPr>
        <w:t xml:space="preserve">, </w:t>
      </w:r>
    </w:p>
    <w:p>
      <w:pPr>
        <w:pStyle w:val="27"/>
        <w:numPr>
          <w:ilvl w:val="0"/>
          <w:numId w:val="0"/>
        </w:numPr>
        <w:tabs>
          <w:tab w:val="left" w:pos="1276"/>
        </w:tabs>
        <w:jc w:val="both"/>
        <w:rPr>
          <w:rFonts w:hint="default" w:eastAsia="宋体"/>
          <w:bCs/>
          <w:sz w:val="20"/>
          <w:szCs w:val="20"/>
          <w:lang w:val="en-US" w:eastAsia="zh-CN"/>
        </w:rPr>
      </w:pPr>
      <w:r>
        <w:rPr>
          <w:rFonts w:hint="eastAsia" w:ascii="Times New Roman" w:hAnsi="Times New Roman" w:eastAsia="MS Mincho" w:cs="Times New Roman"/>
          <w:kern w:val="0"/>
          <w:sz w:val="20"/>
          <w:szCs w:val="24"/>
          <w:lang w:val="en-US" w:eastAsia="zh-CN" w:bidi="ar-SA"/>
        </w:rPr>
        <w:t xml:space="preserve">then the delay for no DRX case is </w:t>
      </w:r>
      <w:r>
        <w:t>T</w:t>
      </w:r>
      <w:r>
        <w:rPr>
          <w:vertAlign w:val="subscript"/>
        </w:rPr>
        <w:t>identify_intra_without_index</w:t>
      </w:r>
      <w:r>
        <w:rPr>
          <w:rFonts w:hint="eastAsia" w:ascii="Times New Roman" w:hAnsi="Times New Roman" w:eastAsia="MS Mincho" w:cs="Times New Roman"/>
          <w:kern w:val="0"/>
          <w:sz w:val="20"/>
          <w:szCs w:val="24"/>
          <w:lang w:val="en-US" w:eastAsia="zh-CN" w:bidi="ar-SA"/>
        </w:rPr>
        <w:t xml:space="preserve"> =2</w:t>
      </w:r>
      <w:r>
        <w:rPr>
          <w:rFonts w:hint="eastAsia" w:ascii="Times New Roman" w:hAnsi="Times New Roman" w:eastAsia="MS Mincho" w:cs="Times New Roman"/>
          <w:kern w:val="0"/>
          <w:sz w:val="20"/>
          <w:szCs w:val="24"/>
          <w:lang w:val="en-US" w:eastAsia="zh-CN" w:bidi="ar-SA"/>
        </w:rPr>
        <w:sym w:font="Symbol" w:char="F0B4"/>
      </w:r>
      <w:r>
        <w:rPr>
          <w:rFonts w:hint="eastAsia" w:ascii="Times New Roman" w:hAnsi="Times New Roman" w:eastAsia="MS Mincho" w:cs="Times New Roman"/>
          <w:kern w:val="0"/>
          <w:sz w:val="20"/>
          <w:szCs w:val="24"/>
          <w:lang w:val="en-US" w:eastAsia="zh-CN" w:bidi="ar-SA"/>
        </w:rPr>
        <w:t xml:space="preserve">24 </w:t>
      </w:r>
      <w:r>
        <w:rPr>
          <w:rFonts w:hint="eastAsia" w:ascii="Times New Roman" w:hAnsi="Times New Roman" w:eastAsia="MS Mincho" w:cs="Times New Roman"/>
          <w:kern w:val="0"/>
          <w:sz w:val="20"/>
          <w:szCs w:val="24"/>
          <w:lang w:val="en-US" w:eastAsia="zh-CN" w:bidi="ar-SA"/>
        </w:rPr>
        <w:sym w:font="Symbol" w:char="F0B4"/>
      </w:r>
      <w:r>
        <w:rPr>
          <w:rFonts w:hint="eastAsia" w:ascii="Times New Roman" w:hAnsi="Times New Roman" w:eastAsia="MS Mincho" w:cs="Times New Roman"/>
          <w:kern w:val="0"/>
          <w:sz w:val="20"/>
          <w:szCs w:val="24"/>
          <w:lang w:val="en-US" w:eastAsia="zh-CN" w:bidi="ar-SA"/>
        </w:rPr>
        <w:t>40=1920ms;</w:t>
      </w:r>
    </w:p>
    <w:p>
      <w:pPr>
        <w:pStyle w:val="27"/>
        <w:numPr>
          <w:ilvl w:val="0"/>
          <w:numId w:val="0"/>
        </w:numPr>
        <w:tabs>
          <w:tab w:val="left" w:pos="1276"/>
        </w:tabs>
        <w:jc w:val="both"/>
        <w:rPr>
          <w:rFonts w:hint="default" w:eastAsia="宋体"/>
          <w:bCs/>
          <w:sz w:val="20"/>
          <w:szCs w:val="20"/>
          <w:lang w:val="en-US" w:eastAsia="zh-CN"/>
        </w:rPr>
      </w:pPr>
      <w:r>
        <w:rPr>
          <w:rFonts w:hint="eastAsia" w:ascii="Times New Roman" w:hAnsi="Times New Roman" w:eastAsia="MS Mincho" w:cs="Times New Roman"/>
          <w:kern w:val="0"/>
          <w:sz w:val="20"/>
          <w:szCs w:val="24"/>
          <w:lang w:val="en-US" w:eastAsia="zh-CN" w:bidi="ar-SA"/>
        </w:rPr>
        <w:t xml:space="preserve">When supposing SMTC=160ms, then the delay for no DRX case is </w:t>
      </w:r>
      <w:r>
        <w:t>T</w:t>
      </w:r>
      <w:r>
        <w:rPr>
          <w:vertAlign w:val="subscript"/>
        </w:rPr>
        <w:t>identify_intra_without_index</w:t>
      </w:r>
      <w:r>
        <w:rPr>
          <w:rFonts w:hint="eastAsia" w:ascii="Times New Roman" w:hAnsi="Times New Roman" w:eastAsia="MS Mincho" w:cs="Times New Roman"/>
          <w:kern w:val="0"/>
          <w:sz w:val="20"/>
          <w:szCs w:val="24"/>
          <w:lang w:val="en-US" w:eastAsia="zh-CN" w:bidi="ar-SA"/>
        </w:rPr>
        <w:t xml:space="preserve"> =2</w:t>
      </w:r>
      <w:r>
        <w:rPr>
          <w:rFonts w:hint="eastAsia" w:ascii="Times New Roman" w:hAnsi="Times New Roman" w:eastAsia="MS Mincho" w:cs="Times New Roman"/>
          <w:kern w:val="0"/>
          <w:sz w:val="20"/>
          <w:szCs w:val="24"/>
          <w:lang w:val="en-US" w:eastAsia="zh-CN" w:bidi="ar-SA"/>
        </w:rPr>
        <w:sym w:font="Symbol" w:char="F0B4"/>
      </w:r>
      <w:r>
        <w:rPr>
          <w:rFonts w:hint="eastAsia" w:ascii="Times New Roman" w:hAnsi="Times New Roman" w:eastAsia="MS Mincho" w:cs="Times New Roman"/>
          <w:kern w:val="0"/>
          <w:sz w:val="20"/>
          <w:szCs w:val="24"/>
          <w:lang w:val="en-US" w:eastAsia="zh-CN" w:bidi="ar-SA"/>
        </w:rPr>
        <w:t xml:space="preserve">24 </w:t>
      </w:r>
      <w:r>
        <w:rPr>
          <w:rFonts w:hint="eastAsia" w:ascii="Times New Roman" w:hAnsi="Times New Roman" w:eastAsia="MS Mincho" w:cs="Times New Roman"/>
          <w:kern w:val="0"/>
          <w:sz w:val="20"/>
          <w:szCs w:val="24"/>
          <w:lang w:val="en-US" w:eastAsia="zh-CN" w:bidi="ar-SA"/>
        </w:rPr>
        <w:sym w:font="Symbol" w:char="F0B4"/>
      </w:r>
      <w:r>
        <w:rPr>
          <w:rFonts w:hint="eastAsia" w:ascii="Times New Roman" w:hAnsi="Times New Roman" w:eastAsia="MS Mincho" w:cs="Times New Roman"/>
          <w:kern w:val="0"/>
          <w:sz w:val="20"/>
          <w:szCs w:val="24"/>
          <w:lang w:val="en-US" w:eastAsia="zh-CN" w:bidi="ar-SA"/>
        </w:rPr>
        <w:t>160=7680ms.</w:t>
      </w:r>
    </w:p>
    <w:p>
      <w:pPr>
        <w:pStyle w:val="27"/>
        <w:numPr>
          <w:ilvl w:val="0"/>
          <w:numId w:val="0"/>
        </w:numPr>
        <w:tabs>
          <w:tab w:val="left" w:pos="1276"/>
        </w:tabs>
        <w:jc w:val="both"/>
        <w:rPr>
          <w:rFonts w:hint="eastAsia" w:ascii="Times New Roman" w:hAnsi="Times New Roman" w:eastAsia="MS Mincho" w:cs="Times New Roman"/>
          <w:kern w:val="0"/>
          <w:sz w:val="20"/>
          <w:szCs w:val="24"/>
          <w:lang w:val="en-US" w:eastAsia="zh-CN" w:bidi="ar-SA"/>
        </w:rPr>
      </w:pPr>
      <w:r>
        <w:rPr>
          <w:rFonts w:hint="eastAsia" w:ascii="Times New Roman" w:hAnsi="Times New Roman" w:eastAsia="MS Mincho" w:cs="Times New Roman"/>
          <w:kern w:val="0"/>
          <w:sz w:val="20"/>
          <w:szCs w:val="24"/>
          <w:lang w:val="en-US" w:eastAsia="zh-CN" w:bidi="ar-SA"/>
        </w:rPr>
        <w:t>For the speed up to 350 km/h, the CPE can moves about 186 meters within 1920 ms, and moves about 744 meters within 7680 ms. It doesn</w:t>
      </w:r>
      <w:r>
        <w:rPr>
          <w:rFonts w:hint="default" w:ascii="Times New Roman" w:hAnsi="Times New Roman" w:eastAsia="MS Mincho" w:cs="Times New Roman"/>
          <w:kern w:val="0"/>
          <w:sz w:val="20"/>
          <w:szCs w:val="24"/>
          <w:lang w:val="en-US" w:eastAsia="zh-CN" w:bidi="ar-SA"/>
        </w:rPr>
        <w:t>’</w:t>
      </w:r>
      <w:r>
        <w:rPr>
          <w:rFonts w:hint="eastAsia" w:ascii="Times New Roman" w:hAnsi="Times New Roman" w:eastAsia="MS Mincho" w:cs="Times New Roman"/>
          <w:kern w:val="0"/>
          <w:sz w:val="20"/>
          <w:szCs w:val="24"/>
          <w:lang w:val="en-US" w:eastAsia="zh-CN" w:bidi="ar-SA"/>
        </w:rPr>
        <w:t>t work for the inter-distance between RRHs of 700 meters. Therefore, the current requirements are not applicable to all cases of high speed scenario.</w:t>
      </w:r>
    </w:p>
    <w:p>
      <w:pPr>
        <w:pStyle w:val="3"/>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宋体" w:cs="Times New Roman"/>
          <w:b/>
          <w:bCs/>
          <w:color w:val="auto"/>
          <w:sz w:val="20"/>
          <w:szCs w:val="20"/>
          <w:lang w:val="en-US" w:eastAsia="zh-CN" w:bidi="ar-SA"/>
        </w:rPr>
      </w:pPr>
      <w:r>
        <w:rPr>
          <w:rFonts w:hint="eastAsia" w:eastAsia="宋体" w:cs="Times New Roman"/>
          <w:b/>
          <w:bCs/>
          <w:color w:val="auto"/>
          <w:sz w:val="20"/>
          <w:szCs w:val="20"/>
          <w:lang w:val="en-US" w:eastAsia="zh-CN" w:bidi="ar-SA"/>
        </w:rPr>
        <w:t>Observation</w:t>
      </w:r>
      <w:r>
        <w:rPr>
          <w:rFonts w:hint="eastAsia" w:ascii="Times New Roman" w:hAnsi="Times New Roman" w:eastAsia="宋体" w:cs="Times New Roman"/>
          <w:b/>
          <w:bCs/>
          <w:color w:val="auto"/>
          <w:sz w:val="20"/>
          <w:szCs w:val="20"/>
          <w:lang w:val="en-US" w:eastAsia="zh-CN" w:bidi="ar-SA"/>
        </w:rPr>
        <w:t xml:space="preserve"> </w:t>
      </w:r>
      <w:r>
        <w:rPr>
          <w:rFonts w:hint="eastAsia" w:eastAsia="宋体" w:cs="Times New Roman"/>
          <w:b/>
          <w:bCs/>
          <w:color w:val="auto"/>
          <w:sz w:val="20"/>
          <w:szCs w:val="20"/>
          <w:lang w:val="en-US" w:eastAsia="zh-CN" w:bidi="ar-SA"/>
        </w:rPr>
        <w:t>3</w:t>
      </w:r>
      <w:r>
        <w:rPr>
          <w:rFonts w:hint="eastAsia" w:ascii="Times New Roman" w:hAnsi="Times New Roman" w:eastAsia="宋体" w:cs="Times New Roman"/>
          <w:b/>
          <w:bCs/>
          <w:color w:val="auto"/>
          <w:sz w:val="20"/>
          <w:szCs w:val="20"/>
          <w:lang w:val="en-US" w:eastAsia="zh-CN" w:bidi="ar-SA"/>
        </w:rPr>
        <w:t>: For the assumption of SMTC=40ms and SMTC=160ms, the current requirements for intra-frequency cell identification can not work for HST scenario.</w:t>
      </w:r>
    </w:p>
    <w:p>
      <w:pPr>
        <w:widowControl w:val="0"/>
        <w:numPr>
          <w:ilvl w:val="0"/>
          <w:numId w:val="0"/>
        </w:numPr>
        <w:jc w:val="both"/>
        <w:rPr>
          <w:rFonts w:hint="eastAsia" w:ascii="Times New Roman" w:hAnsi="Times New Roman" w:eastAsia="宋体" w:cs="Times New Roman"/>
          <w:b/>
          <w:bCs/>
          <w:color w:val="auto"/>
          <w:sz w:val="21"/>
          <w:szCs w:val="21"/>
          <w:lang w:val="en-US" w:eastAsia="zh-CN" w:bidi="ar-SA"/>
        </w:rPr>
      </w:pPr>
      <w:r>
        <w:rPr>
          <w:rFonts w:hint="eastAsia"/>
          <w:lang w:val="en-US" w:eastAsia="zh-CN"/>
        </w:rPr>
        <w:t xml:space="preserve">In order to enhance the requirements of </w:t>
      </w:r>
      <w:r>
        <w:rPr>
          <w:rFonts w:ascii="Times New Roman" w:hAnsi="Times New Roman" w:cs="Times New Roman"/>
          <w:sz w:val="20"/>
          <w:szCs w:val="20"/>
        </w:rPr>
        <w:t>T</w:t>
      </w:r>
      <w:r>
        <w:rPr>
          <w:rFonts w:ascii="Times New Roman" w:hAnsi="Times New Roman" w:cs="Times New Roman"/>
          <w:sz w:val="20"/>
          <w:szCs w:val="20"/>
          <w:vertAlign w:val="subscript"/>
        </w:rPr>
        <w:t>PSS/SSS_sync_intra</w:t>
      </w:r>
      <w:r>
        <w:rPr>
          <w:rFonts w:hint="eastAsia" w:ascii="Times New Roman" w:hAnsi="Times New Roman" w:cs="Times New Roman"/>
          <w:sz w:val="20"/>
          <w:szCs w:val="20"/>
          <w:vertAlign w:val="subscript"/>
          <w:lang w:val="en-US" w:eastAsia="zh-CN"/>
        </w:rPr>
        <w:t xml:space="preserve"> </w:t>
      </w:r>
      <w:r>
        <w:rPr>
          <w:rFonts w:hint="eastAsia"/>
          <w:bCs/>
          <w:sz w:val="20"/>
          <w:szCs w:val="20"/>
          <w:lang w:val="en-US" w:eastAsia="zh-CN"/>
        </w:rPr>
        <w:t xml:space="preserve">and </w:t>
      </w:r>
      <w:r>
        <w:rPr>
          <w:rFonts w:ascii="Times New Roman" w:hAnsi="Times New Roman" w:cs="Times New Roman"/>
          <w:sz w:val="20"/>
          <w:szCs w:val="20"/>
        </w:rPr>
        <w:t>T</w:t>
      </w:r>
      <w:r>
        <w:rPr>
          <w:rFonts w:ascii="Times New Roman" w:hAnsi="Times New Roman" w:cs="Times New Roman"/>
          <w:sz w:val="20"/>
          <w:szCs w:val="20"/>
          <w:vertAlign w:val="subscript"/>
        </w:rPr>
        <w:t xml:space="preserve"> SSB_measurement_period_intra</w:t>
      </w:r>
      <w:r>
        <w:rPr>
          <w:lang w:eastAsia="zh-CN"/>
        </w:rPr>
        <w:t xml:space="preserve">, </w:t>
      </w:r>
      <w:r>
        <w:rPr>
          <w:rFonts w:hint="eastAsia"/>
          <w:lang w:val="en-US" w:eastAsia="zh-CN"/>
        </w:rPr>
        <w:t xml:space="preserve">one factor is to short the </w:t>
      </w:r>
      <w:r>
        <w:rPr>
          <w:rFonts w:ascii="Times New Roman" w:hAnsi="Times New Roman" w:cs="Times New Roman"/>
          <w:sz w:val="20"/>
          <w:szCs w:val="20"/>
        </w:rPr>
        <w:t>M</w:t>
      </w:r>
      <w:r>
        <w:rPr>
          <w:rFonts w:ascii="Times New Roman" w:hAnsi="Times New Roman" w:cs="Times New Roman"/>
          <w:sz w:val="20"/>
          <w:szCs w:val="20"/>
          <w:vertAlign w:val="subscript"/>
        </w:rPr>
        <w:t>pss/sss_sync_w/o_gaps</w:t>
      </w:r>
      <w:r>
        <w:rPr>
          <w:rFonts w:hint="eastAsia" w:ascii="Times New Roman" w:hAnsi="Times New Roman" w:cs="Times New Roman"/>
          <w:sz w:val="20"/>
          <w:szCs w:val="20"/>
          <w:vertAlign w:val="subscript"/>
          <w:lang w:val="en-US" w:eastAsia="zh-CN"/>
        </w:rPr>
        <w:t xml:space="preserve"> </w:t>
      </w:r>
      <w:r>
        <w:rPr>
          <w:rFonts w:hint="eastAsia"/>
          <w:bCs/>
          <w:sz w:val="20"/>
          <w:szCs w:val="20"/>
          <w:lang w:val="en-US" w:eastAsia="zh-CN"/>
        </w:rPr>
        <w:t xml:space="preserve">and </w:t>
      </w:r>
      <w:r>
        <w:rPr>
          <w:rFonts w:ascii="Times New Roman" w:hAnsi="Times New Roman" w:cs="Times New Roman"/>
          <w:sz w:val="20"/>
          <w:szCs w:val="20"/>
        </w:rPr>
        <w:t>M</w:t>
      </w:r>
      <w:r>
        <w:rPr>
          <w:rFonts w:ascii="Times New Roman" w:hAnsi="Times New Roman" w:cs="Times New Roman"/>
          <w:sz w:val="20"/>
          <w:szCs w:val="20"/>
          <w:vertAlign w:val="subscript"/>
        </w:rPr>
        <w:t>meas_period_w/o_gaps</w:t>
      </w:r>
      <w:r>
        <w:rPr>
          <w:rFonts w:hint="eastAsia"/>
          <w:lang w:val="en-US" w:eastAsia="zh-CN"/>
        </w:rPr>
        <w:t xml:space="preserve">. Based on the assumption of 8 RX beam sweep, </w:t>
      </w:r>
      <w:r>
        <w:rPr>
          <w:rFonts w:ascii="Times New Roman" w:hAnsi="Times New Roman" w:cs="Times New Roman"/>
          <w:sz w:val="20"/>
          <w:szCs w:val="20"/>
        </w:rPr>
        <w:t>M</w:t>
      </w:r>
      <w:r>
        <w:rPr>
          <w:rFonts w:ascii="Times New Roman" w:hAnsi="Times New Roman" w:cs="Times New Roman"/>
          <w:sz w:val="20"/>
          <w:szCs w:val="20"/>
          <w:vertAlign w:val="subscript"/>
        </w:rPr>
        <w:t>pss/sss_sync_w/o_gaps</w:t>
      </w:r>
      <w:r>
        <w:rPr>
          <w:rFonts w:hint="eastAsia" w:ascii="Times New Roman" w:hAnsi="Times New Roman" w:cs="Times New Roman"/>
          <w:sz w:val="20"/>
          <w:szCs w:val="20"/>
          <w:vertAlign w:val="subscript"/>
          <w:lang w:val="en-US" w:eastAsia="zh-CN"/>
        </w:rPr>
        <w:t xml:space="preserve"> </w:t>
      </w:r>
      <w:r>
        <w:rPr>
          <w:rFonts w:hint="eastAsia"/>
          <w:bCs/>
          <w:sz w:val="20"/>
          <w:szCs w:val="20"/>
          <w:lang w:val="en-US" w:eastAsia="zh-CN"/>
        </w:rPr>
        <w:t xml:space="preserve">= </w:t>
      </w:r>
      <w:r>
        <w:rPr>
          <w:rFonts w:ascii="Times New Roman" w:hAnsi="Times New Roman" w:cs="Times New Roman"/>
          <w:sz w:val="20"/>
          <w:szCs w:val="20"/>
        </w:rPr>
        <w:t>M</w:t>
      </w:r>
      <w:r>
        <w:rPr>
          <w:rFonts w:ascii="Times New Roman" w:hAnsi="Times New Roman" w:cs="Times New Roman"/>
          <w:sz w:val="20"/>
          <w:szCs w:val="20"/>
          <w:vertAlign w:val="subscript"/>
        </w:rPr>
        <w:t>meas_period_w/o_gaps</w:t>
      </w:r>
      <w:r>
        <w:rPr>
          <w:rFonts w:hint="eastAsia"/>
          <w:lang w:val="en-US" w:eastAsia="zh-CN"/>
        </w:rPr>
        <w:t xml:space="preserve">=24, if decrease the RX beam number from 8 to 1, </w:t>
      </w:r>
      <w:r>
        <w:rPr>
          <w:rFonts w:ascii="Times New Roman" w:hAnsi="Times New Roman" w:cs="Times New Roman"/>
          <w:sz w:val="20"/>
          <w:szCs w:val="20"/>
        </w:rPr>
        <w:t>M</w:t>
      </w:r>
      <w:r>
        <w:rPr>
          <w:rFonts w:ascii="Times New Roman" w:hAnsi="Times New Roman" w:cs="Times New Roman"/>
          <w:sz w:val="20"/>
          <w:szCs w:val="20"/>
          <w:vertAlign w:val="subscript"/>
        </w:rPr>
        <w:t>pss/sss_sync_w/o_gaps</w:t>
      </w:r>
      <w:r>
        <w:rPr>
          <w:rFonts w:hint="eastAsia" w:ascii="Times New Roman" w:hAnsi="Times New Roman" w:cs="Times New Roman"/>
          <w:sz w:val="20"/>
          <w:szCs w:val="20"/>
          <w:vertAlign w:val="subscript"/>
          <w:lang w:val="en-US" w:eastAsia="zh-CN"/>
        </w:rPr>
        <w:t xml:space="preserve"> </w:t>
      </w:r>
      <w:r>
        <w:rPr>
          <w:rFonts w:hint="eastAsia"/>
          <w:bCs/>
          <w:sz w:val="20"/>
          <w:szCs w:val="20"/>
          <w:lang w:val="en-US" w:eastAsia="zh-CN"/>
        </w:rPr>
        <w:t xml:space="preserve">= </w:t>
      </w:r>
      <w:r>
        <w:rPr>
          <w:rFonts w:ascii="Times New Roman" w:hAnsi="Times New Roman" w:cs="Times New Roman"/>
          <w:sz w:val="20"/>
          <w:szCs w:val="20"/>
        </w:rPr>
        <w:t>M</w:t>
      </w:r>
      <w:r>
        <w:rPr>
          <w:rFonts w:ascii="Times New Roman" w:hAnsi="Times New Roman" w:cs="Times New Roman"/>
          <w:sz w:val="20"/>
          <w:szCs w:val="20"/>
          <w:vertAlign w:val="subscript"/>
        </w:rPr>
        <w:t>meas_period_w/o_gaps</w:t>
      </w:r>
      <w:r>
        <w:rPr>
          <w:rFonts w:hint="eastAsia"/>
          <w:lang w:val="en-US" w:eastAsia="zh-CN"/>
        </w:rPr>
        <w:t xml:space="preserve">=3. if decrease the RX beam number from 8 to 2, </w:t>
      </w:r>
      <w:r>
        <w:rPr>
          <w:rFonts w:ascii="Times New Roman" w:hAnsi="Times New Roman" w:cs="Times New Roman"/>
          <w:sz w:val="20"/>
          <w:szCs w:val="20"/>
        </w:rPr>
        <w:t>M</w:t>
      </w:r>
      <w:r>
        <w:rPr>
          <w:rFonts w:ascii="Times New Roman" w:hAnsi="Times New Roman" w:cs="Times New Roman"/>
          <w:sz w:val="20"/>
          <w:szCs w:val="20"/>
          <w:vertAlign w:val="subscript"/>
        </w:rPr>
        <w:t>pss/sss_sync_w/o_gaps</w:t>
      </w:r>
      <w:r>
        <w:rPr>
          <w:rFonts w:hint="eastAsia" w:ascii="Times New Roman" w:hAnsi="Times New Roman" w:cs="Times New Roman"/>
          <w:sz w:val="20"/>
          <w:szCs w:val="20"/>
          <w:vertAlign w:val="subscript"/>
          <w:lang w:val="en-US" w:eastAsia="zh-CN"/>
        </w:rPr>
        <w:t xml:space="preserve"> </w:t>
      </w:r>
      <w:r>
        <w:rPr>
          <w:rFonts w:hint="eastAsia"/>
          <w:bCs/>
          <w:sz w:val="20"/>
          <w:szCs w:val="20"/>
          <w:lang w:val="en-US" w:eastAsia="zh-CN"/>
        </w:rPr>
        <w:t xml:space="preserve">= </w:t>
      </w:r>
      <w:r>
        <w:rPr>
          <w:rFonts w:ascii="Times New Roman" w:hAnsi="Times New Roman" w:cs="Times New Roman"/>
          <w:sz w:val="20"/>
          <w:szCs w:val="20"/>
        </w:rPr>
        <w:t>M</w:t>
      </w:r>
      <w:r>
        <w:rPr>
          <w:rFonts w:ascii="Times New Roman" w:hAnsi="Times New Roman" w:cs="Times New Roman"/>
          <w:sz w:val="20"/>
          <w:szCs w:val="20"/>
          <w:vertAlign w:val="subscript"/>
        </w:rPr>
        <w:t>meas_period_w/o_gaps</w:t>
      </w:r>
      <w:r>
        <w:rPr>
          <w:rFonts w:hint="eastAsia"/>
          <w:lang w:val="en-US" w:eastAsia="zh-CN"/>
        </w:rPr>
        <w:t>=6</w:t>
      </w:r>
      <w:bookmarkStart w:id="6" w:name="OLE_LINK6"/>
      <w:r>
        <w:rPr>
          <w:rFonts w:hint="eastAsia"/>
          <w:lang w:val="en-US" w:eastAsia="zh-CN"/>
        </w:rPr>
        <w:t>.</w:t>
      </w:r>
      <w:bookmarkEnd w:id="6"/>
      <w:r>
        <w:rPr>
          <w:rFonts w:hint="eastAsia"/>
          <w:lang w:val="en-US" w:eastAsia="zh-CN"/>
        </w:rPr>
        <w:t xml:space="preserve"> For the case of SMTC=40ms, the </w:t>
      </w:r>
      <w:r>
        <w:t>T</w:t>
      </w:r>
      <w:r>
        <w:rPr>
          <w:vertAlign w:val="subscript"/>
        </w:rPr>
        <w:t>identify_intra_without_index</w:t>
      </w:r>
      <w:r>
        <w:rPr>
          <w:rFonts w:hint="eastAsia"/>
          <w:lang w:val="en-US" w:eastAsia="zh-CN"/>
        </w:rPr>
        <w:t xml:space="preserve"> can be decreased into 240ms(1 RX beam) or 480ms(2 RX beam). During 240ms, UE only move 23m, during 480ms, UE only move 46m, which two cases are suitable for HST scenarios. </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 xml:space="preserve">Proposal </w:t>
      </w:r>
      <w:r>
        <w:rPr>
          <w:rFonts w:hint="eastAsia" w:eastAsia="宋体" w:cs="Times New Roman"/>
          <w:b/>
          <w:bCs/>
          <w:color w:val="auto"/>
          <w:sz w:val="20"/>
          <w:szCs w:val="20"/>
          <w:lang w:val="en-US" w:eastAsia="zh-CN" w:bidi="ar-SA"/>
        </w:rPr>
        <w:t>5</w:t>
      </w:r>
      <w:r>
        <w:rPr>
          <w:rFonts w:hint="eastAsia" w:ascii="Times New Roman" w:hAnsi="Times New Roman" w:eastAsia="宋体" w:cs="Times New Roman"/>
          <w:b/>
          <w:bCs/>
          <w:color w:val="auto"/>
          <w:sz w:val="20"/>
          <w:szCs w:val="20"/>
          <w:lang w:val="en-US" w:eastAsia="zh-CN" w:bidi="ar-SA"/>
        </w:rPr>
        <w:t xml:space="preserve">: From the point of cell identification, smaller RX beam number can enhance the requirements, so </w:t>
      </w:r>
      <w:r>
        <w:rPr>
          <w:rFonts w:hint="eastAsia" w:eastAsia="宋体" w:cs="Times New Roman"/>
          <w:b/>
          <w:bCs/>
          <w:color w:val="auto"/>
          <w:sz w:val="20"/>
          <w:szCs w:val="20"/>
          <w:lang w:val="en-US" w:eastAsia="zh-CN" w:bidi="ar-SA"/>
        </w:rPr>
        <w:t xml:space="preserve">as to </w:t>
      </w:r>
      <w:r>
        <w:rPr>
          <w:rFonts w:hint="eastAsia" w:ascii="Times New Roman" w:hAnsi="Times New Roman" w:eastAsia="宋体" w:cs="Times New Roman"/>
          <w:b/>
          <w:bCs/>
          <w:color w:val="auto"/>
          <w:sz w:val="20"/>
          <w:szCs w:val="20"/>
          <w:lang w:val="en-US" w:eastAsia="zh-CN" w:bidi="ar-SA"/>
        </w:rPr>
        <w:t xml:space="preserve">satisfy the need of HST scenario.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RX beam sweep number</w:t>
      </w:r>
      <w:r>
        <w:rPr>
          <w:rFonts w:eastAsia="宋体"/>
          <w:bCs/>
          <w:color w:val="auto"/>
          <w:sz w:val="20"/>
          <w:szCs w:val="20"/>
          <w:lang w:val="en-GB" w:eastAsia="zh-CN"/>
        </w:rPr>
        <w:t>:</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eastAsia" w:eastAsia="宋体"/>
          <w:b/>
          <w:bCs/>
          <w:color w:val="auto"/>
          <w:sz w:val="20"/>
          <w:szCs w:val="20"/>
          <w:lang w:val="en-US" w:eastAsia="zh-CN"/>
        </w:rPr>
      </w:pPr>
      <w:r>
        <w:rPr>
          <w:rFonts w:hint="eastAsia" w:eastAsia="宋体"/>
          <w:b/>
          <w:bCs/>
          <w:color w:val="auto"/>
          <w:sz w:val="20"/>
          <w:szCs w:val="20"/>
          <w:lang w:val="en-US" w:eastAsia="zh-CN"/>
        </w:rPr>
        <w:t>Observation</w:t>
      </w:r>
      <w:r>
        <w:rPr>
          <w:rFonts w:eastAsia="宋体"/>
          <w:b/>
          <w:bCs/>
          <w:color w:val="auto"/>
          <w:sz w:val="20"/>
          <w:szCs w:val="20"/>
          <w:lang w:val="en-GB" w:eastAsia="zh-CN"/>
        </w:rPr>
        <w:t xml:space="preserve"> 1:</w:t>
      </w:r>
      <w:r>
        <w:rPr>
          <w:rFonts w:hint="eastAsia" w:eastAsia="宋体"/>
          <w:b/>
          <w:bCs/>
          <w:color w:val="auto"/>
          <w:sz w:val="20"/>
          <w:szCs w:val="20"/>
          <w:lang w:val="en-US" w:eastAsia="zh-CN"/>
        </w:rPr>
        <w:t xml:space="preserve"> </w:t>
      </w:r>
      <w:r>
        <w:rPr>
          <w:rFonts w:hint="eastAsia" w:ascii="Times New Roman" w:hAnsi="Times New Roman" w:eastAsia="宋体" w:cs="Times New Roman"/>
          <w:b/>
          <w:bCs/>
          <w:color w:val="auto"/>
          <w:sz w:val="20"/>
          <w:szCs w:val="20"/>
          <w:lang w:val="en-US" w:eastAsia="zh-CN" w:bidi="ar-SA"/>
        </w:rPr>
        <w:t>The known TCI state condition may not be satisfied especially for Scenario A bi-directional, Scenario B bi-directio</w:t>
      </w:r>
      <w:r>
        <w:rPr>
          <w:rFonts w:hint="eastAsia" w:eastAsia="宋体" w:cs="Times New Roman"/>
          <w:b/>
          <w:bCs/>
          <w:color w:val="auto"/>
          <w:sz w:val="20"/>
          <w:szCs w:val="20"/>
          <w:lang w:val="en-US" w:eastAsia="zh-CN" w:bidi="ar-SA"/>
        </w:rPr>
        <w:t>na</w:t>
      </w:r>
      <w:r>
        <w:rPr>
          <w:rFonts w:hint="eastAsia" w:ascii="Times New Roman" w:hAnsi="Times New Roman" w:eastAsia="宋体" w:cs="Times New Roman"/>
          <w:b/>
          <w:bCs/>
          <w:color w:val="auto"/>
          <w:sz w:val="20"/>
          <w:szCs w:val="20"/>
          <w:lang w:val="en-US" w:eastAsia="zh-CN" w:bidi="ar-SA"/>
        </w:rPr>
        <w:t xml:space="preserve">l RRH deployments. </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eastAsia" w:eastAsia="宋体"/>
          <w:b/>
          <w:bCs/>
          <w:color w:val="auto"/>
          <w:sz w:val="20"/>
          <w:szCs w:val="20"/>
          <w:lang w:val="en-US" w:eastAsia="zh-CN"/>
        </w:rPr>
      </w:pPr>
      <w:r>
        <w:rPr>
          <w:rFonts w:hint="eastAsia" w:eastAsia="宋体"/>
          <w:b/>
          <w:bCs/>
          <w:color w:val="auto"/>
          <w:sz w:val="20"/>
          <w:szCs w:val="20"/>
          <w:lang w:val="en-US" w:eastAsia="zh-CN"/>
        </w:rPr>
        <w:t>Observation 2</w:t>
      </w:r>
      <w:r>
        <w:rPr>
          <w:rFonts w:hint="eastAsia" w:eastAsia="宋体"/>
          <w:b/>
          <w:bCs/>
          <w:color w:val="auto"/>
          <w:sz w:val="20"/>
          <w:szCs w:val="20"/>
          <w:lang w:val="en-GB" w:eastAsia="zh-CN"/>
        </w:rPr>
        <w:t>:</w:t>
      </w:r>
      <w:r>
        <w:rPr>
          <w:rFonts w:hint="eastAsia" w:eastAsia="宋体"/>
          <w:b/>
          <w:bCs/>
          <w:color w:val="auto"/>
          <w:sz w:val="20"/>
          <w:szCs w:val="20"/>
          <w:lang w:val="en-US" w:eastAsia="zh-CN"/>
        </w:rPr>
        <w:t xml:space="preserve"> Based on R16 requirements, L1-RSRP measurements delay for unknown case may be too large for HST. Such cases should be further considered.</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eastAsia" w:eastAsia="宋体"/>
          <w:b/>
          <w:bCs/>
          <w:color w:val="auto"/>
          <w:sz w:val="20"/>
          <w:szCs w:val="20"/>
          <w:lang w:val="en-GB" w:eastAsia="zh-CN"/>
        </w:rPr>
      </w:pPr>
      <w:r>
        <w:rPr>
          <w:rFonts w:hint="eastAsia" w:eastAsia="宋体"/>
          <w:b/>
          <w:bCs/>
          <w:color w:val="auto"/>
          <w:sz w:val="20"/>
          <w:szCs w:val="20"/>
          <w:lang w:val="en-US" w:eastAsia="zh-CN"/>
        </w:rPr>
        <w:t>Observation 3: For the assumption of SMTC=40ms and SMTC=160ms, the current requirements for intra-frequency cell identification can not work for HST scenario.</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eastAsia" w:eastAsia="宋体"/>
          <w:b/>
          <w:bCs/>
          <w:color w:val="auto"/>
          <w:sz w:val="20"/>
          <w:szCs w:val="20"/>
          <w:lang w:val="en-US" w:eastAsia="zh-CN"/>
        </w:rPr>
      </w:pPr>
      <w:r>
        <w:rPr>
          <w:rFonts w:hint="eastAsia" w:eastAsia="宋体"/>
          <w:b/>
          <w:bCs/>
          <w:color w:val="auto"/>
          <w:sz w:val="20"/>
          <w:szCs w:val="20"/>
          <w:lang w:val="en-GB" w:eastAsia="zh-CN"/>
        </w:rPr>
        <w:t>Proposal 1:</w:t>
      </w:r>
      <w:r>
        <w:rPr>
          <w:rFonts w:hint="eastAsia" w:eastAsia="宋体"/>
          <w:b/>
          <w:bCs/>
          <w:color w:val="auto"/>
          <w:sz w:val="20"/>
          <w:szCs w:val="20"/>
          <w:lang w:val="en-US" w:eastAsia="zh-CN"/>
        </w:rPr>
        <w:t xml:space="preserve"> Only 1 RX beam per CPE panel is enough for Scenario B uni-directional deployment.</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eastAsia" w:eastAsia="宋体"/>
          <w:b/>
          <w:bCs/>
          <w:color w:val="auto"/>
          <w:sz w:val="20"/>
          <w:szCs w:val="20"/>
          <w:lang w:val="en-US" w:eastAsia="zh-CN"/>
        </w:rPr>
      </w:pPr>
      <w:r>
        <w:rPr>
          <w:rFonts w:hint="eastAsia" w:eastAsia="宋体"/>
          <w:b/>
          <w:bCs/>
          <w:color w:val="auto"/>
          <w:sz w:val="20"/>
          <w:szCs w:val="20"/>
          <w:lang w:val="en-US" w:eastAsia="zh-CN"/>
        </w:rPr>
        <w:t xml:space="preserve">Proposal 2: For Scenario B bi-directional deployment, wait for the detailed schemes determined in Channel and Scenario sessions. Once the detailed schemes decided, we can determine RX beam number. </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eastAsia" w:eastAsia="宋体"/>
          <w:b/>
          <w:bCs/>
          <w:color w:val="auto"/>
          <w:sz w:val="20"/>
          <w:szCs w:val="20"/>
          <w:lang w:val="en-US" w:eastAsia="zh-CN"/>
        </w:rPr>
      </w:pPr>
      <w:r>
        <w:rPr>
          <w:rFonts w:hint="eastAsia" w:eastAsia="宋体"/>
          <w:b/>
          <w:bCs/>
          <w:color w:val="auto"/>
          <w:sz w:val="20"/>
          <w:szCs w:val="20"/>
          <w:lang w:val="en-US" w:eastAsia="zh-CN"/>
        </w:rPr>
        <w:t>Proposal 3: Smaller RX beam number/scaling factor will relax the restriction on DRX cycle.</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eastAsia" w:eastAsia="宋体"/>
          <w:b/>
          <w:bCs/>
          <w:color w:val="auto"/>
          <w:sz w:val="20"/>
          <w:szCs w:val="20"/>
          <w:lang w:val="en-US" w:eastAsia="zh-CN"/>
        </w:rPr>
      </w:pPr>
      <w:r>
        <w:rPr>
          <w:rFonts w:hint="eastAsia" w:eastAsia="宋体"/>
          <w:b/>
          <w:bCs/>
          <w:color w:val="auto"/>
          <w:sz w:val="20"/>
          <w:szCs w:val="20"/>
          <w:lang w:val="en-US" w:eastAsia="zh-CN"/>
        </w:rPr>
        <w:t xml:space="preserve">Proposal 4: For bi-directional deployment, all of the known rules are not always met, so Known and unknown TCI state switching should be applied in FR2 HST depends on the deployment. </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eastAsia" w:eastAsia="宋体"/>
          <w:b/>
          <w:bCs/>
          <w:color w:val="auto"/>
          <w:sz w:val="20"/>
          <w:szCs w:val="20"/>
          <w:lang w:val="en-US" w:eastAsia="zh-CN"/>
        </w:rPr>
      </w:pPr>
      <w:r>
        <w:rPr>
          <w:rFonts w:hint="eastAsia" w:eastAsia="宋体"/>
          <w:b/>
          <w:bCs/>
          <w:color w:val="auto"/>
          <w:sz w:val="20"/>
          <w:szCs w:val="20"/>
          <w:lang w:val="en-US" w:eastAsia="zh-CN"/>
        </w:rPr>
        <w:t xml:space="preserve">Proposal 5: From the point of cell identification, smaller RX beam number can enhance the requirements, so as to satisfy the need of HST scenario.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eastAsia"/>
          <w:color w:val="auto"/>
          <w:lang w:val="en-US" w:eastAsia="zh-CN"/>
        </w:rPr>
      </w:pPr>
      <w:bookmarkStart w:id="7" w:name="OLE_LINK3"/>
      <w:r>
        <w:rPr>
          <w:rFonts w:hint="eastAsia"/>
          <w:color w:val="auto"/>
          <w:lang w:val="en-US" w:eastAsia="zh-CN"/>
        </w:rPr>
        <w:t xml:space="preserve"> R4-2108342,</w:t>
      </w:r>
      <w:bookmarkEnd w:id="7"/>
      <w:r>
        <w:rPr>
          <w:rFonts w:hint="eastAsia"/>
          <w:color w:val="auto"/>
          <w:lang w:val="en-US" w:eastAsia="zh-CN"/>
        </w:rPr>
        <w:t xml:space="preserve"> </w:t>
      </w:r>
      <w:r>
        <w:rPr>
          <w:rFonts w:hint="default"/>
          <w:color w:val="auto"/>
          <w:lang w:val="en-US" w:eastAsia="zh-CN"/>
        </w:rPr>
        <w:t>“</w:t>
      </w:r>
      <w:r>
        <w:rPr>
          <w:rFonts w:hint="eastAsia"/>
          <w:color w:val="auto"/>
          <w:lang w:val="en-US" w:eastAsia="zh-CN"/>
        </w:rPr>
        <w:t>WF on FR2 HST RRM requirements</w:t>
      </w:r>
      <w:r>
        <w:rPr>
          <w:rFonts w:hint="default"/>
          <w:color w:val="auto"/>
          <w:lang w:val="en-US" w:eastAsia="zh-CN"/>
        </w:rPr>
        <w:t>”</w:t>
      </w:r>
      <w:r>
        <w:rPr>
          <w:rFonts w:hint="eastAsia"/>
          <w:color w:val="auto"/>
          <w:lang w:val="en-US" w:eastAsia="zh-CN"/>
        </w:rPr>
        <w:t xml:space="preserve">, RAN4#99 e-meeting, Nokia, Nokia Shanghai Bell. </w:t>
      </w:r>
    </w:p>
    <w:p>
      <w:pPr>
        <w:pStyle w:val="9"/>
        <w:numPr>
          <w:ilvl w:val="0"/>
          <w:numId w:val="7"/>
        </w:numPr>
        <w:ind w:leftChars="0"/>
        <w:rPr>
          <w:rFonts w:hint="default"/>
          <w:color w:val="auto"/>
          <w:lang w:val="en-US" w:eastAsia="zh-CN"/>
        </w:rPr>
      </w:pPr>
      <w:r>
        <w:rPr>
          <w:rFonts w:hint="eastAsia"/>
          <w:color w:val="auto"/>
          <w:lang w:val="en-US" w:eastAsia="zh-CN"/>
        </w:rPr>
        <w:t xml:space="preserve"> </w:t>
      </w:r>
      <w:bookmarkStart w:id="8" w:name="OLE_LINK7"/>
      <w:r>
        <w:rPr>
          <w:rFonts w:hint="eastAsia"/>
          <w:color w:val="auto"/>
          <w:lang w:val="en-US" w:eastAsia="zh-CN"/>
        </w:rPr>
        <w:t>R4-2106100</w:t>
      </w:r>
      <w:bookmarkEnd w:id="8"/>
      <w:r>
        <w:rPr>
          <w:rFonts w:hint="eastAsia"/>
          <w:color w:val="auto"/>
          <w:lang w:val="en-US" w:eastAsia="zh-CN"/>
        </w:rPr>
        <w:t xml:space="preserve">, </w:t>
      </w:r>
      <w:r>
        <w:rPr>
          <w:rFonts w:hint="default"/>
          <w:color w:val="auto"/>
          <w:lang w:val="en-US" w:eastAsia="zh-CN"/>
        </w:rPr>
        <w:t>“</w:t>
      </w:r>
      <w:r>
        <w:rPr>
          <w:rFonts w:hint="eastAsia"/>
          <w:color w:val="auto"/>
          <w:lang w:val="en-US" w:eastAsia="zh-CN"/>
        </w:rPr>
        <w:t>WF on FR2 HST Scenario</w:t>
      </w:r>
      <w:r>
        <w:rPr>
          <w:rFonts w:hint="default"/>
          <w:color w:val="auto"/>
          <w:lang w:val="en-US" w:eastAsia="zh-CN"/>
        </w:rPr>
        <w:t>”</w:t>
      </w:r>
      <w:r>
        <w:rPr>
          <w:rFonts w:hint="eastAsia"/>
          <w:color w:val="auto"/>
          <w:lang w:val="en-US" w:eastAsia="zh-CN"/>
        </w:rPr>
        <w:t>, RAN4#98bis e-meeting, Samsung.</w:t>
      </w:r>
    </w:p>
    <w:p>
      <w:pPr>
        <w:pStyle w:val="9"/>
        <w:numPr>
          <w:ilvl w:val="0"/>
          <w:numId w:val="7"/>
        </w:numPr>
        <w:ind w:leftChars="0"/>
        <w:rPr>
          <w:rFonts w:hint="default"/>
          <w:color w:val="auto"/>
          <w:lang w:val="en-US" w:eastAsia="zh-CN"/>
        </w:rPr>
      </w:pPr>
      <w:r>
        <w:rPr>
          <w:rFonts w:hint="eastAsia"/>
          <w:color w:val="auto"/>
          <w:lang w:val="en-US" w:eastAsia="zh-CN"/>
        </w:rPr>
        <w:t xml:space="preserve"> R4-2108660, </w:t>
      </w:r>
      <w:r>
        <w:rPr>
          <w:rFonts w:hint="default"/>
          <w:color w:val="auto"/>
          <w:lang w:val="en-US" w:eastAsia="zh-CN"/>
        </w:rPr>
        <w:t>“</w:t>
      </w:r>
      <w:r>
        <w:rPr>
          <w:rFonts w:hint="eastAsia"/>
          <w:color w:val="auto"/>
          <w:lang w:val="en-US" w:eastAsia="zh-CN"/>
        </w:rPr>
        <w:t>WF on FR2 HST Deployment Scenario Analysis</w:t>
      </w:r>
      <w:r>
        <w:rPr>
          <w:rFonts w:hint="default"/>
          <w:color w:val="auto"/>
          <w:lang w:val="en-US" w:eastAsia="zh-CN"/>
        </w:rPr>
        <w:t>”</w:t>
      </w:r>
      <w:r>
        <w:rPr>
          <w:rFonts w:hint="eastAsia"/>
          <w:color w:val="auto"/>
          <w:lang w:val="en-US" w:eastAsia="zh-CN"/>
        </w:rPr>
        <w:t>, RAN4#99 e-meeting, Samsung.</w:t>
      </w:r>
    </w:p>
    <w:p>
      <w:pPr>
        <w:pStyle w:val="9"/>
        <w:numPr>
          <w:ilvl w:val="0"/>
          <w:numId w:val="7"/>
        </w:numPr>
        <w:ind w:leftChars="0"/>
        <w:rPr>
          <w:rFonts w:hint="default"/>
          <w:color w:val="auto"/>
          <w:lang w:val="en-US" w:eastAsia="zh-CN"/>
        </w:rPr>
      </w:pPr>
      <w:r>
        <w:rPr>
          <w:rFonts w:hint="eastAsia"/>
          <w:color w:val="auto"/>
          <w:lang w:val="en-US" w:eastAsia="zh-CN"/>
        </w:rPr>
        <w:t xml:space="preserve"> TS 38.133-h20.</w:t>
      </w:r>
    </w:p>
    <w:p>
      <w:pPr>
        <w:pStyle w:val="9"/>
        <w:numPr>
          <w:ilvl w:val="0"/>
          <w:numId w:val="7"/>
        </w:numPr>
        <w:ind w:leftChars="0"/>
        <w:rPr>
          <w:rFonts w:hint="default"/>
          <w:color w:val="auto"/>
          <w:lang w:val="en-US" w:eastAsia="zh-CN"/>
        </w:rPr>
      </w:pPr>
      <w:r>
        <w:rPr>
          <w:rFonts w:hint="eastAsia"/>
          <w:color w:val="auto"/>
          <w:lang w:val="en-US" w:eastAsia="zh-CN"/>
        </w:rPr>
        <w:t xml:space="preserve"> R4-2105794, </w:t>
      </w:r>
      <w:r>
        <w:rPr>
          <w:rFonts w:hint="default"/>
          <w:color w:val="auto"/>
          <w:lang w:val="en-US" w:eastAsia="zh-CN"/>
        </w:rPr>
        <w:t>“</w:t>
      </w:r>
      <w:r>
        <w:rPr>
          <w:rFonts w:hint="eastAsia"/>
          <w:color w:val="auto"/>
          <w:lang w:val="en-US" w:eastAsia="zh-CN"/>
        </w:rPr>
        <w:t>WF on FR2 HST RRM requirements</w:t>
      </w:r>
      <w:r>
        <w:rPr>
          <w:rFonts w:hint="default"/>
          <w:color w:val="auto"/>
          <w:lang w:val="en-US" w:eastAsia="zh-CN"/>
        </w:rPr>
        <w:t>”</w:t>
      </w:r>
      <w:r>
        <w:rPr>
          <w:rFonts w:hint="eastAsia"/>
          <w:color w:val="auto"/>
          <w:lang w:val="en-US" w:eastAsia="zh-CN"/>
        </w:rPr>
        <w:t xml:space="preserve">, RAN4#98bis e-meeting, Nokia, Nokia Shanghai Bell. </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Calibri"/>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FF04C0C"/>
    <w:multiLevelType w:val="singleLevel"/>
    <w:tmpl w:val="0FF04C0C"/>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4A61B61"/>
    <w:multiLevelType w:val="multilevel"/>
    <w:tmpl w:val="54A61B61"/>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2"/>
  </w:num>
  <w:num w:numId="4">
    <w:abstractNumId w:val="3"/>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4101F2E"/>
    <w:rsid w:val="05C42923"/>
    <w:rsid w:val="07CD3CDD"/>
    <w:rsid w:val="0855671D"/>
    <w:rsid w:val="09716BCA"/>
    <w:rsid w:val="09E644B8"/>
    <w:rsid w:val="0BB0429A"/>
    <w:rsid w:val="0C403BD6"/>
    <w:rsid w:val="104E4F56"/>
    <w:rsid w:val="10807482"/>
    <w:rsid w:val="10F34738"/>
    <w:rsid w:val="11912C97"/>
    <w:rsid w:val="1481754F"/>
    <w:rsid w:val="148F5721"/>
    <w:rsid w:val="14AC57CD"/>
    <w:rsid w:val="154B4EDA"/>
    <w:rsid w:val="164514BE"/>
    <w:rsid w:val="170F06AA"/>
    <w:rsid w:val="180A6E32"/>
    <w:rsid w:val="183F2CD2"/>
    <w:rsid w:val="18CD0507"/>
    <w:rsid w:val="1AD01A1B"/>
    <w:rsid w:val="1C177B08"/>
    <w:rsid w:val="1C9001C6"/>
    <w:rsid w:val="1CBA2101"/>
    <w:rsid w:val="1D0573D7"/>
    <w:rsid w:val="1D153DC4"/>
    <w:rsid w:val="1D223E0B"/>
    <w:rsid w:val="1E853F6F"/>
    <w:rsid w:val="1ECC1E3C"/>
    <w:rsid w:val="1FD40FD5"/>
    <w:rsid w:val="1FD4390A"/>
    <w:rsid w:val="21244EB1"/>
    <w:rsid w:val="21F13629"/>
    <w:rsid w:val="232D3E03"/>
    <w:rsid w:val="24122135"/>
    <w:rsid w:val="26BB1419"/>
    <w:rsid w:val="2A7E505C"/>
    <w:rsid w:val="2BC05B2C"/>
    <w:rsid w:val="2BD617C5"/>
    <w:rsid w:val="2C112837"/>
    <w:rsid w:val="2D9F03B4"/>
    <w:rsid w:val="2F2F0FC8"/>
    <w:rsid w:val="301C6BB6"/>
    <w:rsid w:val="303D2CE7"/>
    <w:rsid w:val="30BE45B7"/>
    <w:rsid w:val="31B14C9E"/>
    <w:rsid w:val="32042A1D"/>
    <w:rsid w:val="320820D4"/>
    <w:rsid w:val="35B06C6A"/>
    <w:rsid w:val="36D37423"/>
    <w:rsid w:val="374346E3"/>
    <w:rsid w:val="3A185287"/>
    <w:rsid w:val="3A692CD0"/>
    <w:rsid w:val="3B673620"/>
    <w:rsid w:val="3B9A1F29"/>
    <w:rsid w:val="3CE4646B"/>
    <w:rsid w:val="3D5E7AA8"/>
    <w:rsid w:val="3D6F2596"/>
    <w:rsid w:val="3F5871F1"/>
    <w:rsid w:val="405F175E"/>
    <w:rsid w:val="40C765F3"/>
    <w:rsid w:val="42F869D2"/>
    <w:rsid w:val="43553536"/>
    <w:rsid w:val="43D4451F"/>
    <w:rsid w:val="451632B9"/>
    <w:rsid w:val="455E2C0D"/>
    <w:rsid w:val="45F60A50"/>
    <w:rsid w:val="46B036BF"/>
    <w:rsid w:val="47282363"/>
    <w:rsid w:val="48A67706"/>
    <w:rsid w:val="48E67C46"/>
    <w:rsid w:val="49E55BC5"/>
    <w:rsid w:val="49EA4E62"/>
    <w:rsid w:val="4C1B4559"/>
    <w:rsid w:val="4C1C63D6"/>
    <w:rsid w:val="4C864A35"/>
    <w:rsid w:val="4E015C76"/>
    <w:rsid w:val="4E4A2325"/>
    <w:rsid w:val="4E5A42F3"/>
    <w:rsid w:val="501A6C55"/>
    <w:rsid w:val="50A30C75"/>
    <w:rsid w:val="51B14BED"/>
    <w:rsid w:val="525C1CEF"/>
    <w:rsid w:val="52AB46D1"/>
    <w:rsid w:val="53250372"/>
    <w:rsid w:val="53C64B93"/>
    <w:rsid w:val="55B1164D"/>
    <w:rsid w:val="55B4735E"/>
    <w:rsid w:val="56371459"/>
    <w:rsid w:val="57867D36"/>
    <w:rsid w:val="59DA647E"/>
    <w:rsid w:val="5A556E1A"/>
    <w:rsid w:val="5BCC290A"/>
    <w:rsid w:val="5EB44FC0"/>
    <w:rsid w:val="5FA35B76"/>
    <w:rsid w:val="5FBA395F"/>
    <w:rsid w:val="61FF0B04"/>
    <w:rsid w:val="635902CD"/>
    <w:rsid w:val="64706BBE"/>
    <w:rsid w:val="64F2095B"/>
    <w:rsid w:val="67A858DB"/>
    <w:rsid w:val="693E3147"/>
    <w:rsid w:val="69A833BD"/>
    <w:rsid w:val="6C4C2C3E"/>
    <w:rsid w:val="6DDE3DAF"/>
    <w:rsid w:val="6EB1140C"/>
    <w:rsid w:val="6F14354A"/>
    <w:rsid w:val="715F4C2D"/>
    <w:rsid w:val="72BF60CA"/>
    <w:rsid w:val="753811DE"/>
    <w:rsid w:val="75BE67D4"/>
    <w:rsid w:val="75C759C1"/>
    <w:rsid w:val="75E82F2F"/>
    <w:rsid w:val="762D64F3"/>
    <w:rsid w:val="76974FD8"/>
    <w:rsid w:val="76FF73F3"/>
    <w:rsid w:val="775B4604"/>
    <w:rsid w:val="77C067C3"/>
    <w:rsid w:val="78911E31"/>
    <w:rsid w:val="7A9367CB"/>
    <w:rsid w:val="7AF22571"/>
    <w:rsid w:val="7C1C35A7"/>
    <w:rsid w:val="7C45431D"/>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paragraph" w:customStyle="1" w:styleId="52">
    <w:name w:val="B2"/>
    <w:basedOn w:val="9"/>
    <w:qFormat/>
    <w:uiPriority w:val="0"/>
  </w:style>
  <w:style w:type="paragraph" w:customStyle="1" w:styleId="53">
    <w:name w:val="B3"/>
    <w:basedOn w:val="1"/>
    <w:qFormat/>
    <w:uiPriority w:val="0"/>
    <w:pPr>
      <w:ind w:left="1135" w:hanging="284"/>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6</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ZTE(Liu Wenhao)</cp:lastModifiedBy>
  <cp:lastPrinted>2015-02-02T11:17:00Z</cp:lastPrinted>
  <dcterms:modified xsi:type="dcterms:W3CDTF">2021-08-06T13:30:21Z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